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05E" w:rsidRPr="00F0306B" w:rsidRDefault="006A505E" w:rsidP="006A505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F0306B">
        <w:rPr>
          <w:rFonts w:ascii="Times New Roman" w:hAnsi="Times New Roman" w:cs="Times New Roman"/>
          <w:b/>
          <w:color w:val="auto"/>
        </w:rPr>
        <w:t xml:space="preserve">REUNIÃO CONJUNTA DE COMISSÃO </w:t>
      </w:r>
      <w:r w:rsidRPr="00F0306B">
        <w:rPr>
          <w:rFonts w:ascii="Times New Roman" w:hAnsi="Times New Roman" w:cs="Times New Roman"/>
          <w:b/>
          <w:bCs/>
          <w:color w:val="auto"/>
        </w:rPr>
        <w:t>DE LEGISLAÇÃO, JUSTIÇA E REDAÇÃO FINAL, COMISS</w:t>
      </w:r>
      <w:r w:rsidRPr="00F0306B">
        <w:rPr>
          <w:rFonts w:ascii="Times New Roman" w:hAnsi="Times New Roman" w:cs="Times New Roman"/>
          <w:b/>
          <w:color w:val="auto"/>
        </w:rPr>
        <w:t>Ã</w:t>
      </w:r>
      <w:r w:rsidRPr="00F0306B">
        <w:rPr>
          <w:rFonts w:ascii="Times New Roman" w:hAnsi="Times New Roman" w:cs="Times New Roman"/>
          <w:b/>
          <w:bCs/>
          <w:color w:val="auto"/>
        </w:rPr>
        <w:t>O DE FINANÇAS E ORÇAMENTO, E A COMISS</w:t>
      </w:r>
      <w:r w:rsidRPr="00F0306B">
        <w:rPr>
          <w:rFonts w:ascii="Times New Roman" w:hAnsi="Times New Roman" w:cs="Times New Roman"/>
          <w:b/>
          <w:color w:val="auto"/>
        </w:rPr>
        <w:t>Ã</w:t>
      </w:r>
      <w:r w:rsidRPr="00F0306B">
        <w:rPr>
          <w:rFonts w:ascii="Times New Roman" w:hAnsi="Times New Roman" w:cs="Times New Roman"/>
          <w:b/>
          <w:bCs/>
          <w:color w:val="auto"/>
        </w:rPr>
        <w:t xml:space="preserve">O DE OBRAS, SERVIÇOS PÚBLICOS, ATIVIDADES PRIVADAS, AGRICULTURA, MEIO AMBIENTE E TURISMO </w:t>
      </w:r>
    </w:p>
    <w:p w:rsidR="006A505E" w:rsidRPr="00F0306B" w:rsidRDefault="006A505E" w:rsidP="006A505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6A505E" w:rsidRPr="00F0306B" w:rsidRDefault="006A505E" w:rsidP="006A505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F0306B">
        <w:rPr>
          <w:rFonts w:ascii="Times New Roman" w:hAnsi="Times New Roman" w:cs="Times New Roman"/>
          <w:b/>
          <w:bCs/>
          <w:color w:val="auto"/>
        </w:rPr>
        <w:t xml:space="preserve">PARECER DO PROJETO DE LEI </w:t>
      </w:r>
      <w:r>
        <w:rPr>
          <w:rFonts w:ascii="Times New Roman" w:hAnsi="Times New Roman" w:cs="Times New Roman"/>
          <w:b/>
          <w:bCs/>
          <w:color w:val="auto"/>
        </w:rPr>
        <w:t xml:space="preserve">COMPLEMENTAR </w:t>
      </w:r>
      <w:r w:rsidRPr="00F0306B">
        <w:rPr>
          <w:rFonts w:ascii="Times New Roman" w:hAnsi="Times New Roman" w:cs="Times New Roman"/>
          <w:b/>
          <w:bCs/>
          <w:color w:val="auto"/>
        </w:rPr>
        <w:t>Nº0</w:t>
      </w:r>
      <w:r>
        <w:rPr>
          <w:rFonts w:ascii="Times New Roman" w:hAnsi="Times New Roman" w:cs="Times New Roman"/>
          <w:b/>
          <w:bCs/>
          <w:color w:val="auto"/>
        </w:rPr>
        <w:t>11</w:t>
      </w:r>
      <w:r w:rsidRPr="00F0306B">
        <w:rPr>
          <w:rFonts w:ascii="Times New Roman" w:hAnsi="Times New Roman" w:cs="Times New Roman"/>
          <w:b/>
          <w:bCs/>
          <w:color w:val="auto"/>
        </w:rPr>
        <w:t>/2018</w:t>
      </w:r>
    </w:p>
    <w:p w:rsidR="006A505E" w:rsidRPr="00F0306B" w:rsidRDefault="006A505E" w:rsidP="006A505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A505E" w:rsidRPr="00F0306B" w:rsidRDefault="006A505E" w:rsidP="006A505E">
      <w:pPr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b/>
          <w:sz w:val="24"/>
          <w:szCs w:val="24"/>
        </w:rPr>
        <w:t xml:space="preserve">MATÉRIA: </w:t>
      </w:r>
      <w:r w:rsidRPr="006A505E">
        <w:rPr>
          <w:rFonts w:ascii="Times New Roman" w:hAnsi="Times New Roman" w:cs="Times New Roman"/>
          <w:sz w:val="24"/>
          <w:szCs w:val="24"/>
        </w:rPr>
        <w:t>ALTERA DISPOSITIVOS NA LEI COMPLEMENTAR Nº 001/2005 QUE DISPÕE SOBRE NORMAS GERAIS DE DIREITO TRIBUTÁRIO E DE ADMINISTRAÇÃO TRIBUTÁRIA DO MUNICÍPIO DE ANCHIETA E DÁ OUTRAS PROVIDÊNCIAS.</w:t>
      </w:r>
    </w:p>
    <w:p w:rsidR="006A505E" w:rsidRDefault="006A505E" w:rsidP="006A50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0306B">
        <w:rPr>
          <w:rFonts w:ascii="Times New Roman" w:hAnsi="Times New Roman" w:cs="Times New Roman"/>
          <w:b/>
          <w:bCs/>
          <w:color w:val="auto"/>
        </w:rPr>
        <w:t>ASSUNTO</w:t>
      </w:r>
      <w:r w:rsidRPr="00F0306B">
        <w:rPr>
          <w:rFonts w:ascii="Times New Roman" w:hAnsi="Times New Roman" w:cs="Times New Roman"/>
          <w:bCs/>
          <w:color w:val="auto"/>
        </w:rPr>
        <w:t>: Projeto de Lei</w:t>
      </w:r>
      <w:r>
        <w:rPr>
          <w:rFonts w:ascii="Times New Roman" w:hAnsi="Times New Roman" w:cs="Times New Roman"/>
          <w:bCs/>
          <w:color w:val="auto"/>
        </w:rPr>
        <w:t xml:space="preserve"> Complementar</w:t>
      </w:r>
      <w:r w:rsidRPr="00F0306B">
        <w:rPr>
          <w:rFonts w:ascii="Times New Roman" w:hAnsi="Times New Roman" w:cs="Times New Roman"/>
          <w:bCs/>
          <w:color w:val="auto"/>
        </w:rPr>
        <w:t xml:space="preserve"> n.0</w:t>
      </w:r>
      <w:r>
        <w:rPr>
          <w:rFonts w:ascii="Times New Roman" w:hAnsi="Times New Roman" w:cs="Times New Roman"/>
          <w:bCs/>
          <w:color w:val="auto"/>
        </w:rPr>
        <w:t>11</w:t>
      </w:r>
      <w:r w:rsidRPr="00F0306B">
        <w:rPr>
          <w:rFonts w:ascii="Times New Roman" w:hAnsi="Times New Roman" w:cs="Times New Roman"/>
          <w:bCs/>
          <w:color w:val="auto"/>
        </w:rPr>
        <w:t xml:space="preserve">/2018 </w:t>
      </w:r>
    </w:p>
    <w:p w:rsidR="006A505E" w:rsidRPr="006A505E" w:rsidRDefault="006A505E" w:rsidP="006A50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0306B">
        <w:rPr>
          <w:rFonts w:ascii="Times New Roman" w:hAnsi="Times New Roman" w:cs="Times New Roman"/>
          <w:b/>
          <w:bCs/>
          <w:color w:val="auto"/>
        </w:rPr>
        <w:t>AUTOR</w:t>
      </w:r>
      <w:r w:rsidRPr="00F0306B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6A505E" w:rsidRPr="00F0306B" w:rsidRDefault="006A505E" w:rsidP="006A505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F0306B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6A505E" w:rsidRPr="006A505E" w:rsidRDefault="006A505E" w:rsidP="006A505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 xml:space="preserve">O chefe do poder executivo, encaminhou a esta casa legislativa o projeto de lei </w:t>
      </w:r>
      <w:r>
        <w:rPr>
          <w:rFonts w:ascii="Times New Roman" w:hAnsi="Times New Roman" w:cs="Times New Roman"/>
          <w:sz w:val="24"/>
          <w:szCs w:val="24"/>
        </w:rPr>
        <w:t xml:space="preserve">Complementar </w:t>
      </w:r>
      <w:r w:rsidRPr="00F0306B">
        <w:rPr>
          <w:rFonts w:ascii="Times New Roman" w:hAnsi="Times New Roman" w:cs="Times New Roman"/>
          <w:sz w:val="24"/>
          <w:szCs w:val="24"/>
        </w:rPr>
        <w:t>n.0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0306B">
        <w:rPr>
          <w:rFonts w:ascii="Times New Roman" w:hAnsi="Times New Roman" w:cs="Times New Roman"/>
          <w:sz w:val="24"/>
          <w:szCs w:val="24"/>
        </w:rPr>
        <w:t xml:space="preserve">/2018, que </w:t>
      </w:r>
      <w:r w:rsidRPr="00F0306B">
        <w:rPr>
          <w:rFonts w:ascii="Times New Roman" w:hAnsi="Times New Roman" w:cs="Times New Roman"/>
          <w:bCs/>
          <w:iCs/>
          <w:sz w:val="24"/>
          <w:szCs w:val="24"/>
        </w:rPr>
        <w:t xml:space="preserve">tem </w:t>
      </w:r>
      <w:r w:rsidRPr="00F0306B">
        <w:rPr>
          <w:rFonts w:ascii="Times New Roman" w:hAnsi="Times New Roman" w:cs="Times New Roman"/>
          <w:sz w:val="24"/>
          <w:szCs w:val="24"/>
        </w:rPr>
        <w:t xml:space="preserve">como finalidade: </w:t>
      </w:r>
      <w:r w:rsidRPr="006A505E">
        <w:rPr>
          <w:rFonts w:ascii="Times New Roman" w:hAnsi="Times New Roman" w:cs="Times New Roman"/>
          <w:sz w:val="24"/>
          <w:szCs w:val="24"/>
        </w:rPr>
        <w:t>Inicialmente, estamos propondo alterações no artigo 95 da Lei Complementar nº 001/2005, na alínea ‘b’, dos incisos I e II, o inciso III e as alíneas ‘a’ e ‘b’, do § 3º. O artigo 94 trata das multas que deverão ser aplicadas e calculadas em razão de infrações tributárias cometidas por prestadores, devidamente apuradas em ação fiscal da autoridade fiscal municipal. A proposta é aumentar o valor das multas para os casos em que o débito for apurado mediante ação de fiscal, ou seja, quando o setor de fiscalização tributária instaurar um “procedimento administrativo fiscal”, através de suas autoridades fiscais, no qual se verificou forte indício de não recolhimento ou recolhimento a menor de um tributo, declarado pela própria empresa (geralmente ISSQN).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05E">
        <w:rPr>
          <w:rFonts w:ascii="Times New Roman" w:hAnsi="Times New Roman" w:cs="Times New Roman"/>
          <w:sz w:val="24"/>
          <w:szCs w:val="24"/>
        </w:rPr>
        <w:t>O aumento da multa se propõe em ambos os casos a provocar a precaução do contribuinte, desestimulando-o a cometer a infração por um lado e penalizando-o por outro, se insistir na má conduta.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05E">
        <w:rPr>
          <w:rFonts w:ascii="Times New Roman" w:hAnsi="Times New Roman" w:cs="Times New Roman"/>
          <w:sz w:val="24"/>
          <w:szCs w:val="24"/>
        </w:rPr>
        <w:t>Na alínea ‘b’ dos incisos I e II, a alíquota está sendo majorada/aumentada de 5% para 50%, ao passo que no inciso III, o aumento é de 20% para 75%.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05E">
        <w:rPr>
          <w:rFonts w:ascii="Times New Roman" w:hAnsi="Times New Roman" w:cs="Times New Roman"/>
          <w:sz w:val="24"/>
          <w:szCs w:val="24"/>
        </w:rPr>
        <w:t>Nas alíneas ‘a’ e ‘b’ do § 3º, as alíquotas estão sendo reduzidas, pois tratam de um desconto na multa para quem paga ou parcela o débito tributário lançado e inscrito em dívida ativa.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05E">
        <w:rPr>
          <w:rFonts w:ascii="Times New Roman" w:hAnsi="Times New Roman" w:cs="Times New Roman"/>
          <w:sz w:val="24"/>
          <w:szCs w:val="24"/>
        </w:rPr>
        <w:t>Estas alterações estão sendo propostas, pois entendemos que o contribuinte do ISSQN, que por lei tem o dever de homologar e pagar o imposto devido corretamente não o faz, com o único propósito de enganar o fisco municipal e aguardar pelo transcurso do prazo decadencial que é de 5 (cinco) anos, sendo que após este prazo o fisco municipal perde o direito de lançar e cobrar o tributo eventualmente não recolhido (este prazo é chamado de ‘decadência’).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05E">
        <w:rPr>
          <w:rFonts w:ascii="Times New Roman" w:hAnsi="Times New Roman" w:cs="Times New Roman"/>
          <w:sz w:val="24"/>
          <w:szCs w:val="24"/>
        </w:rPr>
        <w:t xml:space="preserve">Como o próprio Ministério Público estadual, em eventos realizados no ‘Programa Saúde Fiscal dos Municípios’, sempre se manifestou no sentido de que o contribuinte mau pagador somente muda de atitude a partir do momento que estará sujeito ao pagamento de ‘multas’ mais vultosas, sendo desinteressante economicamente tentar sonegar ou atrasar o pagamento dos impostos devidos. Expressão que se usa: “quando doer no seu próprio </w:t>
      </w:r>
      <w:r w:rsidRPr="006A505E">
        <w:rPr>
          <w:rFonts w:ascii="Times New Roman" w:hAnsi="Times New Roman" w:cs="Times New Roman"/>
          <w:sz w:val="24"/>
          <w:szCs w:val="24"/>
        </w:rPr>
        <w:t>bolso.</w:t>
      </w:r>
      <w:r w:rsidRPr="006A505E">
        <w:rPr>
          <w:rFonts w:ascii="Times New Roman" w:hAnsi="Times New Roman" w:cs="Times New Roman"/>
          <w:sz w:val="24"/>
          <w:szCs w:val="24"/>
        </w:rPr>
        <w:t>”.</w:t>
      </w:r>
    </w:p>
    <w:p w:rsidR="006A505E" w:rsidRPr="006A505E" w:rsidRDefault="006A505E" w:rsidP="006A505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05E" w:rsidRPr="006A505E" w:rsidRDefault="006A505E" w:rsidP="006A505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05E">
        <w:rPr>
          <w:rFonts w:ascii="Times New Roman" w:hAnsi="Times New Roman" w:cs="Times New Roman"/>
          <w:sz w:val="24"/>
          <w:szCs w:val="24"/>
        </w:rPr>
        <w:lastRenderedPageBreak/>
        <w:t>Em sequência propomos alterar a tabela I, instituída pelo § 1º, do artigo 113 e a tabela VII, instituída no § 7º, do artigo 113. A tabela I refere ao valor genérico do metro quadrado do terreno e a tabela VII do valor genérico do metro quadrado, conforme caracterização da edificação. Atualmente o município utiliza valores genéricos do metro quadrado do terreno e do metro quadrado conforme caracterização da edificação, instituídos no ano de 2005, ou seja, 14 anos atrás. Ocorreu, com absoluta certeza a elevação dos valores dos imóveis urbanos, tanto o terreno como as edificações de lá para cá, e os valores atribuídos pelo município para cálculo do valor venal estagnaram em 2005. É oportuno informar que o valor venal do terreno somado ao valor venal da edificação é a base de cálculo do valor do Imposto sobre a Propriedade Predial e Territorial Urbana – IPTU. Com isso, o Município deixa de arrecadar o que poderia arrecadar, influenciando diretamente na prestação de serviços públicos, principalmente na infraestrutura urbana.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05E">
        <w:rPr>
          <w:rFonts w:ascii="Times New Roman" w:hAnsi="Times New Roman" w:cs="Times New Roman"/>
          <w:sz w:val="24"/>
          <w:szCs w:val="24"/>
        </w:rPr>
        <w:t xml:space="preserve">Neste sentido, o projeto de lei que apresentamos propõe um pequeno reajuste de 10% (dez por cento) no metro quadrado do valor genérico do metro quadrado do terreno e do valor genérico do metro quadrado, conforme caracterização da edificação, valores estes que ficarão ainda muito aquém do valor real dos imóveis. Os valores atuais e os valores propostos estão descritos nas tabelas abaixo para efeitos comparativos: </w:t>
      </w:r>
    </w:p>
    <w:p w:rsidR="006A505E" w:rsidRDefault="006A505E" w:rsidP="006A505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05E">
        <w:drawing>
          <wp:inline distT="0" distB="0" distL="0" distR="0">
            <wp:extent cx="5759450" cy="39909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5E" w:rsidRPr="006A505E" w:rsidRDefault="006A505E" w:rsidP="006A505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05E">
        <w:rPr>
          <w:rFonts w:ascii="Times New Roman" w:hAnsi="Times New Roman" w:cs="Times New Roman"/>
          <w:sz w:val="24"/>
          <w:szCs w:val="24"/>
        </w:rPr>
        <w:t>Por fim, a exemplo de outros municípios, propomos promover atualização gradual da taxa de coleta de lixo em nosso município, promovendo a atualização de 15% para 2019, 10% para o ano de 2020, 10% para o ano de 2021, 10% para o ano de 2022 e 10% para o ano de 2023.</w:t>
      </w:r>
    </w:p>
    <w:p w:rsidR="006A505E" w:rsidRPr="006A505E" w:rsidRDefault="006A505E" w:rsidP="006A505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05E">
        <w:rPr>
          <w:rFonts w:ascii="Times New Roman" w:hAnsi="Times New Roman" w:cs="Times New Roman"/>
          <w:sz w:val="24"/>
          <w:szCs w:val="24"/>
        </w:rPr>
        <w:lastRenderedPageBreak/>
        <w:t>Para justificar a necessidade desta atualização, destacamos o déficit existente entre a arrecadação dos contribuintes e o pagamento efetuado a contratada, prestadora da coleta e destinação do lixo produzido, no ano de 2017 e 2018: No ano de 2017 o valor empenhado relativo às despesas para a coleta e transporte de resíduos sólidos domiciliares e comerciais urbanos foi de  R$ 219.624,27 (Duzentos e dezenove mil, seiscentos e vinte e quatro reais e vinte e sete centavos). O Município efetuou o lançamento de R$ 77.439,15 (Setenta e sete mil reais, quatrocentos e trinta e nove reais e quinze centavos) e arrecadou R$ 72.030,29 (Setenta e dois mil, trinta reais e vinte e nove centavos</w:t>
      </w:r>
      <w:proofErr w:type="gramStart"/>
      <w:r w:rsidRPr="006A505E">
        <w:rPr>
          <w:rFonts w:ascii="Times New Roman" w:hAnsi="Times New Roman" w:cs="Times New Roman"/>
          <w:sz w:val="24"/>
          <w:szCs w:val="24"/>
        </w:rPr>
        <w:t>) .</w:t>
      </w:r>
      <w:proofErr w:type="gramEnd"/>
      <w:r w:rsidRPr="006A505E">
        <w:rPr>
          <w:rFonts w:ascii="Times New Roman" w:hAnsi="Times New Roman" w:cs="Times New Roman"/>
          <w:sz w:val="24"/>
          <w:szCs w:val="24"/>
        </w:rPr>
        <w:t xml:space="preserve"> No ano de 2018, o valor empenhado para a coleta de transporte de resíduos sólidos domiciliares e comerciais urbanos foi de R$ 214.200,00 (Duzentos e catorze mil e duzentos reais). O Município efetuou o lançamento de R$ 110.119,05 (Cento e dez mil e cento e dezenove reais e cinco centavos) e arrecadou R$ 100.002,47 (Cem mil e dois reais e quarenta e sete centavos).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05E">
        <w:rPr>
          <w:rFonts w:ascii="Times New Roman" w:hAnsi="Times New Roman" w:cs="Times New Roman"/>
          <w:sz w:val="24"/>
          <w:szCs w:val="24"/>
        </w:rPr>
        <w:t xml:space="preserve">Para o ano de 2018, com a parcial atualização do cadastro imobiliário realizada em 2017, inserimos 453 novos imóveis para pagamento de taxa de lixo. Nestes imóveis, o serviço era </w:t>
      </w:r>
      <w:r w:rsidRPr="006A505E">
        <w:rPr>
          <w:rFonts w:ascii="Times New Roman" w:hAnsi="Times New Roman" w:cs="Times New Roman"/>
          <w:sz w:val="24"/>
          <w:szCs w:val="24"/>
        </w:rPr>
        <w:t>fornecido,</w:t>
      </w:r>
      <w:r w:rsidRPr="006A505E">
        <w:rPr>
          <w:rFonts w:ascii="Times New Roman" w:hAnsi="Times New Roman" w:cs="Times New Roman"/>
          <w:sz w:val="24"/>
          <w:szCs w:val="24"/>
        </w:rPr>
        <w:t xml:space="preserve"> mas não havia pagamento da taxa ou ainda </w:t>
      </w:r>
      <w:r w:rsidRPr="006A505E">
        <w:rPr>
          <w:rFonts w:ascii="Times New Roman" w:hAnsi="Times New Roman" w:cs="Times New Roman"/>
          <w:sz w:val="24"/>
          <w:szCs w:val="24"/>
        </w:rPr>
        <w:t>porque separamos</w:t>
      </w:r>
      <w:r w:rsidRPr="006A505E">
        <w:rPr>
          <w:rFonts w:ascii="Times New Roman" w:hAnsi="Times New Roman" w:cs="Times New Roman"/>
          <w:sz w:val="24"/>
          <w:szCs w:val="24"/>
        </w:rPr>
        <w:t xml:space="preserve"> cadastros que antes eram únicos, principalmente nos casos de prédios com apartamentos, salas comerciais em conjunto com residências. Com esta inserção de novos imóveis pretendia-se arrecadar R$ 32.179,87, no entanto o valor arrecadado até o momento foi de R$ 25.645,87, pois parte dos pagamentos ainda não foram efetuados.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05E">
        <w:rPr>
          <w:rFonts w:ascii="Times New Roman" w:hAnsi="Times New Roman" w:cs="Times New Roman"/>
          <w:sz w:val="24"/>
          <w:szCs w:val="24"/>
        </w:rPr>
        <w:t>Coma atualização da Taxa de Coleta de Lixo (TCL), busca-se a diminuição do déficit, a nível de cerca de 10% em 2023, ou seja cerca de 10% do serviço continuará sendo pago com recursos de outras fontes.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05E">
        <w:rPr>
          <w:rFonts w:ascii="Times New Roman" w:hAnsi="Times New Roman" w:cs="Times New Roman"/>
          <w:sz w:val="24"/>
          <w:szCs w:val="24"/>
        </w:rPr>
        <w:t>Anexo a esta justificativa, segue a memória de cálculo, com a evolução da TCL até 2023 e também com os valores a serem praticados em 2019, com destaque para os valores a mais que serão pagos de acordo com cada local e frequência de coleta.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05E">
        <w:rPr>
          <w:rFonts w:ascii="Times New Roman" w:hAnsi="Times New Roman" w:cs="Times New Roman"/>
          <w:sz w:val="24"/>
          <w:szCs w:val="24"/>
        </w:rPr>
        <w:t xml:space="preserve">Outrossim, reafirmamos que as alterações propostas são necessárias para a saúde fiscal e a justiça tributária em nosso Município. Enfatizamos que além dos dados e motivos apresentados nesta justificativa, temos por referência o termo de cooperação técnica nº 033/2016/MP, firmado entre o Município de Anchieta e o Ministério Público de Santa Catarina em 14 de junho de 2016 que versa sobre o compromisso </w:t>
      </w:r>
      <w:proofErr w:type="gramStart"/>
      <w:r w:rsidRPr="006A505E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6A505E">
        <w:rPr>
          <w:rFonts w:ascii="Times New Roman" w:hAnsi="Times New Roman" w:cs="Times New Roman"/>
          <w:sz w:val="24"/>
          <w:szCs w:val="24"/>
        </w:rPr>
        <w:t xml:space="preserve"> Poder Executivo aperfeiçoar a legislação tributária municipal.</w:t>
      </w:r>
    </w:p>
    <w:p w:rsidR="006A505E" w:rsidRPr="00F0306B" w:rsidRDefault="006A505E" w:rsidP="006A505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F0306B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6A505E" w:rsidRPr="00F0306B" w:rsidRDefault="006A505E" w:rsidP="006A50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0306B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ao prosseguimento. </w:t>
      </w:r>
    </w:p>
    <w:p w:rsidR="006A505E" w:rsidRPr="00F0306B" w:rsidRDefault="006A505E" w:rsidP="006A50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0306B">
        <w:rPr>
          <w:rFonts w:ascii="Times New Roman" w:hAnsi="Times New Roman" w:cs="Times New Roman"/>
          <w:color w:val="auto"/>
        </w:rPr>
        <w:t xml:space="preserve">É o parecer. </w:t>
      </w:r>
    </w:p>
    <w:p w:rsidR="006A505E" w:rsidRPr="00F0306B" w:rsidRDefault="006A505E" w:rsidP="006A505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F0306B">
        <w:rPr>
          <w:rFonts w:ascii="Times New Roman" w:hAnsi="Times New Roman" w:cs="Times New Roman"/>
          <w:b/>
          <w:color w:val="auto"/>
        </w:rPr>
        <w:t>VOTO</w:t>
      </w:r>
    </w:p>
    <w:p w:rsidR="006A505E" w:rsidRPr="00F0306B" w:rsidRDefault="006A505E" w:rsidP="006A505E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Considerando, portanto, o atendimento dos fundamentos legais, regimentais e constitucionais, está Relatoria resolve exarar Parecer de forma FAVORÁVEL À TRAMITAÇÃO do presente Projeto de Lei</w:t>
      </w:r>
      <w:r>
        <w:rPr>
          <w:rFonts w:ascii="Times New Roman" w:hAnsi="Times New Roman" w:cs="Times New Roman"/>
          <w:sz w:val="24"/>
          <w:szCs w:val="24"/>
        </w:rPr>
        <w:t xml:space="preserve"> Complementar</w:t>
      </w:r>
      <w:r w:rsidRPr="00F0306B">
        <w:rPr>
          <w:rFonts w:ascii="Times New Roman" w:hAnsi="Times New Roman" w:cs="Times New Roman"/>
          <w:sz w:val="24"/>
          <w:szCs w:val="24"/>
        </w:rPr>
        <w:t xml:space="preserve"> n.0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0306B">
        <w:rPr>
          <w:rFonts w:ascii="Times New Roman" w:hAnsi="Times New Roman" w:cs="Times New Roman"/>
          <w:sz w:val="24"/>
          <w:szCs w:val="24"/>
        </w:rPr>
        <w:t>/2018.</w:t>
      </w:r>
    </w:p>
    <w:p w:rsidR="006A505E" w:rsidRPr="00F0306B" w:rsidRDefault="006A505E" w:rsidP="006A505E">
      <w:pPr>
        <w:jc w:val="both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6A505E" w:rsidRDefault="006A505E" w:rsidP="006A505E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r w:rsidRPr="00F0306B">
        <w:rPr>
          <w:rFonts w:ascii="Times New Roman" w:hAnsi="Times New Roman" w:cs="Times New Roman"/>
          <w:b/>
          <w:color w:val="auto"/>
        </w:rPr>
        <w:t>Anchieta/SC, 1</w:t>
      </w:r>
      <w:r>
        <w:rPr>
          <w:rFonts w:ascii="Times New Roman" w:hAnsi="Times New Roman" w:cs="Times New Roman"/>
          <w:b/>
          <w:color w:val="auto"/>
        </w:rPr>
        <w:t>8</w:t>
      </w:r>
      <w:r w:rsidRPr="00F0306B">
        <w:rPr>
          <w:rFonts w:ascii="Times New Roman" w:hAnsi="Times New Roman" w:cs="Times New Roman"/>
          <w:b/>
          <w:color w:val="auto"/>
        </w:rPr>
        <w:t xml:space="preserve"> de dezembro de 2018. </w:t>
      </w:r>
    </w:p>
    <w:p w:rsidR="006A505E" w:rsidRPr="006A505E" w:rsidRDefault="006A505E" w:rsidP="006A505E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  <w:r w:rsidRPr="00F0306B">
        <w:rPr>
          <w:rFonts w:ascii="Times New Roman" w:hAnsi="Times New Roman" w:cs="Times New Roman"/>
        </w:rPr>
        <w:lastRenderedPageBreak/>
        <w:t xml:space="preserve">Comissão de Legislação, Justiça e Redação Final </w:t>
      </w:r>
    </w:p>
    <w:p w:rsidR="006A505E" w:rsidRPr="00F0306B" w:rsidRDefault="006A505E" w:rsidP="006A505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6A505E" w:rsidRPr="00F0306B" w:rsidRDefault="006A505E" w:rsidP="006A505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Vice-Presidente: Adriane Brassiani ______________________________________</w:t>
      </w:r>
    </w:p>
    <w:p w:rsidR="006A505E" w:rsidRPr="00F0306B" w:rsidRDefault="006A505E" w:rsidP="006A505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Relator: Carmem Gorczveski ___________________________________________</w:t>
      </w:r>
    </w:p>
    <w:p w:rsidR="006A505E" w:rsidRPr="00F0306B" w:rsidRDefault="006A505E" w:rsidP="006A505E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6A505E" w:rsidRPr="00F0306B" w:rsidRDefault="006A505E" w:rsidP="006A505E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6A505E" w:rsidRPr="00F0306B" w:rsidRDefault="006A505E" w:rsidP="006A505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Comissão de Finanças e Orçamento</w:t>
      </w:r>
    </w:p>
    <w:p w:rsidR="006A505E" w:rsidRPr="00F0306B" w:rsidRDefault="006A505E" w:rsidP="006A505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Presidente:  Maria Helena Trentin _______________________________________</w:t>
      </w:r>
    </w:p>
    <w:p w:rsidR="006A505E" w:rsidRPr="00F0306B" w:rsidRDefault="006A505E" w:rsidP="006A505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Vice-Presidente: Neri Gaspar __________________________________________</w:t>
      </w:r>
    </w:p>
    <w:p w:rsidR="006A505E" w:rsidRPr="00F0306B" w:rsidRDefault="006A505E" w:rsidP="006A505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Relator: Leandro da Rosa _____________________________________________</w:t>
      </w:r>
    </w:p>
    <w:p w:rsidR="006A505E" w:rsidRPr="00F0306B" w:rsidRDefault="006A505E" w:rsidP="006A505E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6A505E" w:rsidRPr="00F0306B" w:rsidRDefault="006A505E" w:rsidP="006A505E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6A505E" w:rsidRPr="00F0306B" w:rsidRDefault="006A505E" w:rsidP="006A505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Comissão de Obras, Serviços Públicos, Atividades Privadas, Agricultura, Meio Ambiente e Turismo</w:t>
      </w:r>
    </w:p>
    <w:p w:rsidR="006A505E" w:rsidRPr="00F0306B" w:rsidRDefault="006A505E" w:rsidP="006A505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Presidente:  Ivo Schaeffer        __________________________________________</w:t>
      </w:r>
    </w:p>
    <w:p w:rsidR="006A505E" w:rsidRPr="00F0306B" w:rsidRDefault="006A505E" w:rsidP="006A505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Vice-Presidente: Pedro Benatti __________________________________________</w:t>
      </w:r>
    </w:p>
    <w:p w:rsidR="006A505E" w:rsidRPr="00F0306B" w:rsidRDefault="006A505E" w:rsidP="006A505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0306B">
        <w:rPr>
          <w:rFonts w:ascii="Times New Roman" w:hAnsi="Times New Roman" w:cs="Times New Roman"/>
          <w:sz w:val="24"/>
          <w:szCs w:val="24"/>
        </w:rPr>
        <w:t>Relator: Vilson Luiz Rossato ____________________________________________</w:t>
      </w:r>
    </w:p>
    <w:p w:rsidR="006A505E" w:rsidRPr="00F0306B" w:rsidRDefault="006A505E" w:rsidP="006A505E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6A505E" w:rsidRPr="00F0306B" w:rsidRDefault="006A505E" w:rsidP="006A505E">
      <w:pPr>
        <w:rPr>
          <w:rFonts w:ascii="Times New Roman" w:hAnsi="Times New Roman" w:cs="Times New Roman"/>
          <w:sz w:val="24"/>
          <w:szCs w:val="24"/>
        </w:rPr>
      </w:pPr>
    </w:p>
    <w:p w:rsidR="006A505E" w:rsidRPr="00F0306B" w:rsidRDefault="006A505E" w:rsidP="006A505E">
      <w:pPr>
        <w:rPr>
          <w:rFonts w:ascii="Times New Roman" w:hAnsi="Times New Roman" w:cs="Times New Roman"/>
          <w:sz w:val="24"/>
          <w:szCs w:val="24"/>
        </w:rPr>
      </w:pPr>
    </w:p>
    <w:p w:rsidR="006A505E" w:rsidRPr="00F0306B" w:rsidRDefault="006A505E" w:rsidP="006A505E">
      <w:pPr>
        <w:rPr>
          <w:rFonts w:ascii="Times New Roman" w:hAnsi="Times New Roman" w:cs="Times New Roman"/>
          <w:sz w:val="24"/>
          <w:szCs w:val="24"/>
        </w:rPr>
      </w:pPr>
    </w:p>
    <w:p w:rsidR="006A505E" w:rsidRPr="00F0306B" w:rsidRDefault="006A505E" w:rsidP="006A505E">
      <w:pPr>
        <w:rPr>
          <w:rFonts w:ascii="Times New Roman" w:hAnsi="Times New Roman" w:cs="Times New Roman"/>
          <w:sz w:val="24"/>
          <w:szCs w:val="24"/>
        </w:rPr>
      </w:pPr>
    </w:p>
    <w:p w:rsidR="006A505E" w:rsidRDefault="006A505E"/>
    <w:sectPr w:rsidR="006A505E" w:rsidSect="006A505E">
      <w:pgSz w:w="11906" w:h="16838"/>
      <w:pgMar w:top="266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5E"/>
    <w:rsid w:val="00186B6D"/>
    <w:rsid w:val="006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AC81"/>
  <w15:chartTrackingRefBased/>
  <w15:docId w15:val="{9DE4D15E-931E-4169-B499-ADCF55CD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0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A505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1338</Words>
  <Characters>7229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2018-12-20T11:49:00Z</cp:lastPrinted>
  <dcterms:created xsi:type="dcterms:W3CDTF">2018-12-20T11:39:00Z</dcterms:created>
  <dcterms:modified xsi:type="dcterms:W3CDTF">2018-12-20T11:55:00Z</dcterms:modified>
</cp:coreProperties>
</file>