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B284" w14:textId="77777777" w:rsidR="00B47FE2" w:rsidRDefault="00B47FE2">
      <w:pPr>
        <w:keepNext/>
        <w:tabs>
          <w:tab w:val="left" w:pos="6660"/>
        </w:tabs>
        <w:spacing w:line="360" w:lineRule="auto"/>
        <w:jc w:val="center"/>
        <w:outlineLvl w:val="6"/>
        <w:rPr>
          <w:b/>
        </w:rPr>
      </w:pPr>
    </w:p>
    <w:p w14:paraId="59D7592C" w14:textId="57731CC3" w:rsidR="00744BDA" w:rsidRDefault="00C1343F">
      <w:pPr>
        <w:keepNext/>
        <w:tabs>
          <w:tab w:val="left" w:pos="6660"/>
        </w:tabs>
        <w:spacing w:line="360" w:lineRule="auto"/>
        <w:jc w:val="center"/>
        <w:outlineLvl w:val="6"/>
        <w:rPr>
          <w:b/>
        </w:rPr>
      </w:pPr>
      <w:r>
        <w:rPr>
          <w:b/>
        </w:rPr>
        <w:t xml:space="preserve">LEI COMPLEMENTAR Nº </w:t>
      </w:r>
      <w:r w:rsidR="00A51CD0">
        <w:rPr>
          <w:b/>
        </w:rPr>
        <w:t>____</w:t>
      </w:r>
      <w:r>
        <w:rPr>
          <w:b/>
        </w:rPr>
        <w:t>/2022</w:t>
      </w:r>
    </w:p>
    <w:p w14:paraId="3584CE18" w14:textId="77777777" w:rsidR="00744BDA" w:rsidRDefault="00744BDA">
      <w:pPr>
        <w:ind w:left="2832"/>
        <w:jc w:val="both"/>
        <w:rPr>
          <w:b/>
          <w:bCs/>
        </w:rPr>
      </w:pPr>
    </w:p>
    <w:p w14:paraId="7FD0E4E3" w14:textId="77777777" w:rsidR="00441E35" w:rsidRPr="00441E35" w:rsidRDefault="0047545A" w:rsidP="00441E35">
      <w:pPr>
        <w:shd w:val="clear" w:color="auto" w:fill="FFFFFF"/>
        <w:ind w:left="1985"/>
        <w:jc w:val="both"/>
        <w:rPr>
          <w:color w:val="222222"/>
          <w:lang w:eastAsia="pt-BR"/>
        </w:rPr>
      </w:pPr>
      <w:r>
        <w:rPr>
          <w:b/>
          <w:bCs/>
        </w:rPr>
        <w:t xml:space="preserve">    </w:t>
      </w:r>
      <w:r w:rsidR="00441E35" w:rsidRPr="00441E35">
        <w:rPr>
          <w:b/>
          <w:bCs/>
          <w:color w:val="222222"/>
          <w:lang w:eastAsia="pt-BR"/>
        </w:rPr>
        <w:t>ALTERA DISPOSITIVOS DA LEI COMPLEMENTAR 001/2005, E DÁ OUTRAS PROVIDÊNCIAS.</w:t>
      </w:r>
    </w:p>
    <w:p w14:paraId="0BE9C50A" w14:textId="50595682" w:rsidR="00441E35" w:rsidRDefault="00441E35" w:rsidP="00441E35">
      <w:pPr>
        <w:shd w:val="clear" w:color="auto" w:fill="FFFFFF"/>
        <w:suppressAutoHyphens w:val="0"/>
        <w:ind w:left="2832"/>
        <w:jc w:val="both"/>
        <w:rPr>
          <w:b/>
          <w:bCs/>
          <w:color w:val="222222"/>
          <w:lang w:eastAsia="pt-BR"/>
        </w:rPr>
      </w:pPr>
      <w:r w:rsidRPr="00441E35">
        <w:rPr>
          <w:b/>
          <w:bCs/>
          <w:color w:val="222222"/>
          <w:lang w:eastAsia="pt-BR"/>
        </w:rPr>
        <w:t> </w:t>
      </w:r>
    </w:p>
    <w:p w14:paraId="0E5889ED" w14:textId="77777777" w:rsidR="00B47FE2" w:rsidRPr="00441E35" w:rsidRDefault="00B47FE2" w:rsidP="00441E35">
      <w:pPr>
        <w:shd w:val="clear" w:color="auto" w:fill="FFFFFF"/>
        <w:suppressAutoHyphens w:val="0"/>
        <w:ind w:left="2832"/>
        <w:jc w:val="both"/>
        <w:rPr>
          <w:color w:val="222222"/>
          <w:lang w:eastAsia="pt-BR"/>
        </w:rPr>
      </w:pPr>
    </w:p>
    <w:p w14:paraId="2238CBC1" w14:textId="77777777" w:rsidR="00441E35" w:rsidRPr="00441E35" w:rsidRDefault="00441E35" w:rsidP="00441E35">
      <w:pPr>
        <w:shd w:val="clear" w:color="auto" w:fill="FFFFFF"/>
        <w:suppressAutoHyphens w:val="0"/>
        <w:ind w:firstLine="708"/>
        <w:jc w:val="both"/>
        <w:rPr>
          <w:color w:val="222222"/>
          <w:lang w:eastAsia="pt-BR"/>
        </w:rPr>
      </w:pPr>
      <w:r w:rsidRPr="00441E35">
        <w:rPr>
          <w:bCs/>
          <w:color w:val="222222"/>
          <w:lang w:eastAsia="pt-BR"/>
        </w:rPr>
        <w:t>O P</w:t>
      </w:r>
      <w:r w:rsidRPr="00441E35">
        <w:rPr>
          <w:color w:val="222222"/>
          <w:lang w:eastAsia="pt-BR"/>
        </w:rPr>
        <w:t>refeito Municipal de Anchieta, Estado de Santa Catarina:</w:t>
      </w:r>
    </w:p>
    <w:p w14:paraId="77ED6AA6" w14:textId="77777777" w:rsidR="00441E35" w:rsidRPr="00441E35" w:rsidRDefault="00441E35" w:rsidP="00441E35">
      <w:pPr>
        <w:shd w:val="clear" w:color="auto" w:fill="FFFFFF"/>
        <w:suppressAutoHyphens w:val="0"/>
        <w:ind w:firstLine="708"/>
        <w:jc w:val="both"/>
        <w:rPr>
          <w:color w:val="222222"/>
          <w:lang w:eastAsia="pt-BR"/>
        </w:rPr>
      </w:pPr>
      <w:r w:rsidRPr="00441E35">
        <w:rPr>
          <w:bCs/>
          <w:color w:val="222222"/>
          <w:lang w:eastAsia="pt-BR"/>
        </w:rPr>
        <w:t>Faço Saber que a Câmara Municipal aprovou e eu sanciono a seguinte a Lei Complementar:</w:t>
      </w:r>
    </w:p>
    <w:p w14:paraId="6A2163B4" w14:textId="77777777" w:rsidR="00441E35" w:rsidRPr="00441E35" w:rsidRDefault="00441E35" w:rsidP="00441E35">
      <w:pPr>
        <w:shd w:val="clear" w:color="auto" w:fill="FFFFFF"/>
        <w:suppressAutoHyphens w:val="0"/>
        <w:jc w:val="both"/>
        <w:rPr>
          <w:color w:val="222222"/>
          <w:lang w:eastAsia="pt-BR"/>
        </w:rPr>
      </w:pPr>
    </w:p>
    <w:p w14:paraId="1DFAE4E8" w14:textId="77777777" w:rsidR="00441E35" w:rsidRPr="00441E35" w:rsidRDefault="00441E35" w:rsidP="00441E35">
      <w:pPr>
        <w:shd w:val="clear" w:color="auto" w:fill="FFFFFF"/>
        <w:suppressAutoHyphens w:val="0"/>
        <w:ind w:firstLine="708"/>
        <w:jc w:val="both"/>
        <w:rPr>
          <w:color w:val="222222"/>
          <w:lang w:eastAsia="pt-BR"/>
        </w:rPr>
      </w:pPr>
      <w:r w:rsidRPr="00441E35">
        <w:rPr>
          <w:b/>
          <w:bCs/>
          <w:color w:val="222222"/>
          <w:lang w:eastAsia="pt-BR"/>
        </w:rPr>
        <w:t>Art. 1º</w:t>
      </w:r>
      <w:r w:rsidRPr="00441E35">
        <w:rPr>
          <w:color w:val="222222"/>
          <w:lang w:eastAsia="pt-BR"/>
        </w:rPr>
        <w:t> Os incisos IV e V do § 1º do art. 191 da Lei Complementar 001/2005 passam a vigorar com a seguinte redação:</w:t>
      </w:r>
    </w:p>
    <w:p w14:paraId="3D2C5D11" w14:textId="77777777" w:rsidR="00441E35" w:rsidRPr="00441E35" w:rsidRDefault="00441E35" w:rsidP="00441E35">
      <w:pPr>
        <w:shd w:val="clear" w:color="auto" w:fill="FFFFFF"/>
        <w:suppressAutoHyphens w:val="0"/>
        <w:ind w:firstLine="709"/>
        <w:jc w:val="both"/>
        <w:rPr>
          <w:b/>
          <w:bCs/>
          <w:i/>
          <w:iCs/>
          <w:color w:val="222222"/>
          <w:lang w:eastAsia="pt-BR"/>
        </w:rPr>
      </w:pPr>
      <w:r w:rsidRPr="00441E35">
        <w:rPr>
          <w:b/>
          <w:bCs/>
          <w:i/>
          <w:iCs/>
          <w:color w:val="222222"/>
          <w:lang w:eastAsia="pt-BR"/>
        </w:rPr>
        <w:t> </w:t>
      </w:r>
    </w:p>
    <w:p w14:paraId="69FB2546" w14:textId="77777777" w:rsidR="00441E35" w:rsidRPr="00441E35" w:rsidRDefault="00441E35" w:rsidP="00441E35">
      <w:pPr>
        <w:shd w:val="clear" w:color="auto" w:fill="FFFFFF"/>
        <w:suppressAutoHyphens w:val="0"/>
        <w:ind w:left="709"/>
        <w:jc w:val="both"/>
        <w:rPr>
          <w:color w:val="222222"/>
          <w:lang w:eastAsia="pt-BR"/>
        </w:rPr>
      </w:pPr>
      <w:r w:rsidRPr="00441E35">
        <w:rPr>
          <w:b/>
          <w:bCs/>
          <w:i/>
          <w:iCs/>
          <w:color w:val="222222"/>
          <w:lang w:eastAsia="pt-BR"/>
        </w:rPr>
        <w:t>“Art. 191. </w:t>
      </w:r>
      <w:r w:rsidRPr="00441E35">
        <w:rPr>
          <w:i/>
          <w:iCs/>
          <w:color w:val="222222"/>
          <w:lang w:eastAsia="pt-BR"/>
        </w:rPr>
        <w:t>...</w:t>
      </w:r>
    </w:p>
    <w:p w14:paraId="62D1CEEF" w14:textId="77777777" w:rsidR="00441E35" w:rsidRPr="00441E35" w:rsidRDefault="00441E35" w:rsidP="00441E35">
      <w:pPr>
        <w:shd w:val="clear" w:color="auto" w:fill="FFFFFF"/>
        <w:suppressAutoHyphens w:val="0"/>
        <w:ind w:left="709"/>
        <w:jc w:val="both"/>
        <w:rPr>
          <w:color w:val="222222"/>
          <w:lang w:eastAsia="pt-BR"/>
        </w:rPr>
      </w:pPr>
      <w:r w:rsidRPr="00441E35">
        <w:rPr>
          <w:b/>
          <w:bCs/>
          <w:i/>
          <w:iCs/>
          <w:color w:val="222222"/>
          <w:lang w:eastAsia="pt-BR"/>
        </w:rPr>
        <w:t>§ 1º. ... </w:t>
      </w:r>
    </w:p>
    <w:p w14:paraId="25FCA53B" w14:textId="558FCA1F" w:rsidR="00441E35" w:rsidRDefault="00441E35" w:rsidP="00441E35">
      <w:pPr>
        <w:shd w:val="clear" w:color="auto" w:fill="FFFFFF"/>
        <w:suppressAutoHyphens w:val="0"/>
        <w:ind w:left="709"/>
        <w:jc w:val="both"/>
        <w:rPr>
          <w:i/>
          <w:iCs/>
          <w:color w:val="222222"/>
          <w:lang w:eastAsia="pt-BR"/>
        </w:rPr>
      </w:pPr>
      <w:r w:rsidRPr="00441E35">
        <w:rPr>
          <w:b/>
          <w:bCs/>
          <w:i/>
          <w:iCs/>
          <w:color w:val="222222"/>
          <w:lang w:eastAsia="pt-BR"/>
        </w:rPr>
        <w:t>IV – </w:t>
      </w:r>
      <w:r w:rsidRPr="00441E35">
        <w:rPr>
          <w:i/>
          <w:iCs/>
          <w:color w:val="222222"/>
          <w:lang w:eastAsia="pt-BR"/>
        </w:rPr>
        <w:t>O cálculo para definição do valor do metro quadrado e do imposto devido será realizado com base no tipo da construção, se residencial ou comercial; no padrão, se básico, médio ou alto e no percentual sobre o Custo Unitário Básico de Construção – CUB, para o Estado de Santa Catarina, conforme quadro a seguir:</w:t>
      </w:r>
    </w:p>
    <w:p w14:paraId="0849F569" w14:textId="77777777" w:rsidR="00441E35" w:rsidRPr="00441E35" w:rsidRDefault="00441E35" w:rsidP="00441E35">
      <w:pPr>
        <w:shd w:val="clear" w:color="auto" w:fill="FFFFFF"/>
        <w:suppressAutoHyphens w:val="0"/>
        <w:ind w:left="709"/>
        <w:jc w:val="both"/>
        <w:rPr>
          <w:color w:val="222222"/>
          <w:lang w:eastAsia="pt-B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141"/>
        <w:gridCol w:w="3261"/>
      </w:tblGrid>
      <w:tr w:rsidR="00441E35" w:rsidRPr="00441E35" w14:paraId="38184B8F" w14:textId="77777777" w:rsidTr="00441E35">
        <w:trPr>
          <w:trHeight w:val="270"/>
        </w:trPr>
        <w:tc>
          <w:tcPr>
            <w:tcW w:w="2015" w:type="dxa"/>
            <w:shd w:val="clear" w:color="auto" w:fill="auto"/>
          </w:tcPr>
          <w:p w14:paraId="685B8C51" w14:textId="77777777" w:rsidR="00441E35" w:rsidRPr="00441E35" w:rsidRDefault="00441E35" w:rsidP="00441E35">
            <w:pPr>
              <w:suppressAutoHyphens w:val="0"/>
              <w:rPr>
                <w:i/>
                <w:iCs/>
                <w:color w:val="222222"/>
                <w:lang w:eastAsia="pt-BR"/>
              </w:rPr>
            </w:pPr>
            <w:r w:rsidRPr="00441E35">
              <w:rPr>
                <w:i/>
                <w:iCs/>
                <w:color w:val="222222"/>
                <w:lang w:eastAsia="pt-BR"/>
              </w:rPr>
              <w:t>Tipo de Construção</w:t>
            </w:r>
          </w:p>
        </w:tc>
        <w:tc>
          <w:tcPr>
            <w:tcW w:w="2141" w:type="dxa"/>
            <w:shd w:val="clear" w:color="auto" w:fill="auto"/>
          </w:tcPr>
          <w:p w14:paraId="1B22EEFF" w14:textId="77777777" w:rsidR="00441E35" w:rsidRPr="00441E35" w:rsidRDefault="00441E35" w:rsidP="00441E35">
            <w:pPr>
              <w:suppressAutoHyphens w:val="0"/>
              <w:rPr>
                <w:i/>
                <w:iCs/>
                <w:color w:val="222222"/>
                <w:lang w:eastAsia="pt-BR"/>
              </w:rPr>
            </w:pPr>
            <w:r w:rsidRPr="00441E35">
              <w:rPr>
                <w:i/>
                <w:iCs/>
                <w:color w:val="222222"/>
                <w:lang w:eastAsia="pt-BR"/>
              </w:rPr>
              <w:t>Padrão de Construção</w:t>
            </w:r>
          </w:p>
        </w:tc>
        <w:tc>
          <w:tcPr>
            <w:tcW w:w="3261" w:type="dxa"/>
            <w:shd w:val="clear" w:color="auto" w:fill="auto"/>
          </w:tcPr>
          <w:p w14:paraId="263771DF" w14:textId="77777777" w:rsidR="00441E35" w:rsidRPr="00441E35" w:rsidRDefault="00441E35" w:rsidP="00441E35">
            <w:pPr>
              <w:suppressAutoHyphens w:val="0"/>
              <w:rPr>
                <w:i/>
                <w:iCs/>
                <w:color w:val="222222"/>
                <w:lang w:eastAsia="pt-BR"/>
              </w:rPr>
            </w:pPr>
            <w:r w:rsidRPr="00441E35">
              <w:rPr>
                <w:i/>
                <w:iCs/>
                <w:color w:val="222222"/>
                <w:lang w:eastAsia="pt-BR"/>
              </w:rPr>
              <w:t>Percentual sobre o valor do CUB</w:t>
            </w:r>
          </w:p>
        </w:tc>
      </w:tr>
      <w:tr w:rsidR="00441E35" w:rsidRPr="00441E35" w14:paraId="20972CAE" w14:textId="77777777" w:rsidTr="00441E35">
        <w:trPr>
          <w:trHeight w:val="270"/>
        </w:trPr>
        <w:tc>
          <w:tcPr>
            <w:tcW w:w="2015" w:type="dxa"/>
            <w:shd w:val="clear" w:color="auto" w:fill="auto"/>
          </w:tcPr>
          <w:p w14:paraId="171774BC" w14:textId="77777777" w:rsidR="00441E35" w:rsidRPr="00441E35" w:rsidRDefault="00441E35" w:rsidP="00441E35">
            <w:pPr>
              <w:suppressAutoHyphens w:val="0"/>
              <w:rPr>
                <w:i/>
                <w:iCs/>
                <w:color w:val="222222"/>
                <w:lang w:eastAsia="pt-BR"/>
              </w:rPr>
            </w:pPr>
            <w:r w:rsidRPr="00441E35">
              <w:rPr>
                <w:i/>
                <w:iCs/>
                <w:color w:val="222222"/>
                <w:lang w:eastAsia="pt-BR"/>
              </w:rPr>
              <w:t>Residencial</w:t>
            </w:r>
          </w:p>
        </w:tc>
        <w:tc>
          <w:tcPr>
            <w:tcW w:w="2141" w:type="dxa"/>
            <w:shd w:val="clear" w:color="auto" w:fill="auto"/>
          </w:tcPr>
          <w:p w14:paraId="79E60438" w14:textId="77777777" w:rsidR="00441E35" w:rsidRPr="00441E35" w:rsidRDefault="00441E35" w:rsidP="00441E35">
            <w:pPr>
              <w:suppressAutoHyphens w:val="0"/>
              <w:rPr>
                <w:i/>
                <w:iCs/>
                <w:color w:val="222222"/>
                <w:lang w:eastAsia="pt-BR"/>
              </w:rPr>
            </w:pPr>
            <w:r w:rsidRPr="00441E35">
              <w:rPr>
                <w:i/>
                <w:iCs/>
                <w:color w:val="222222"/>
                <w:lang w:eastAsia="pt-BR"/>
              </w:rPr>
              <w:t>Básico</w:t>
            </w:r>
          </w:p>
        </w:tc>
        <w:tc>
          <w:tcPr>
            <w:tcW w:w="3261" w:type="dxa"/>
            <w:shd w:val="clear" w:color="auto" w:fill="auto"/>
          </w:tcPr>
          <w:p w14:paraId="083CD3D4" w14:textId="77777777" w:rsidR="00441E35" w:rsidRPr="00441E35" w:rsidRDefault="00441E35" w:rsidP="00441E35">
            <w:pPr>
              <w:suppressAutoHyphens w:val="0"/>
              <w:rPr>
                <w:i/>
                <w:iCs/>
                <w:color w:val="222222"/>
                <w:lang w:eastAsia="pt-BR"/>
              </w:rPr>
            </w:pPr>
            <w:r w:rsidRPr="00441E35">
              <w:rPr>
                <w:i/>
                <w:iCs/>
                <w:color w:val="222222"/>
                <w:lang w:eastAsia="pt-BR"/>
              </w:rPr>
              <w:t>18%</w:t>
            </w:r>
          </w:p>
        </w:tc>
      </w:tr>
      <w:tr w:rsidR="00441E35" w:rsidRPr="00441E35" w14:paraId="16B4C783" w14:textId="77777777" w:rsidTr="00441E35">
        <w:trPr>
          <w:trHeight w:val="270"/>
        </w:trPr>
        <w:tc>
          <w:tcPr>
            <w:tcW w:w="2015" w:type="dxa"/>
            <w:shd w:val="clear" w:color="auto" w:fill="auto"/>
          </w:tcPr>
          <w:p w14:paraId="6299DFAF" w14:textId="77777777" w:rsidR="00441E35" w:rsidRPr="00441E35" w:rsidRDefault="00441E35" w:rsidP="00441E35">
            <w:pPr>
              <w:suppressAutoHyphens w:val="0"/>
              <w:rPr>
                <w:i/>
                <w:iCs/>
                <w:color w:val="222222"/>
                <w:lang w:eastAsia="pt-BR"/>
              </w:rPr>
            </w:pPr>
          </w:p>
        </w:tc>
        <w:tc>
          <w:tcPr>
            <w:tcW w:w="2141" w:type="dxa"/>
            <w:shd w:val="clear" w:color="auto" w:fill="auto"/>
          </w:tcPr>
          <w:p w14:paraId="4427198F" w14:textId="77777777" w:rsidR="00441E35" w:rsidRPr="00441E35" w:rsidRDefault="00441E35" w:rsidP="00441E35">
            <w:pPr>
              <w:suppressAutoHyphens w:val="0"/>
              <w:rPr>
                <w:i/>
                <w:iCs/>
                <w:color w:val="222222"/>
                <w:lang w:eastAsia="pt-BR"/>
              </w:rPr>
            </w:pPr>
            <w:r w:rsidRPr="00441E35">
              <w:rPr>
                <w:i/>
                <w:iCs/>
                <w:color w:val="222222"/>
                <w:lang w:eastAsia="pt-BR"/>
              </w:rPr>
              <w:t>Médio</w:t>
            </w:r>
          </w:p>
        </w:tc>
        <w:tc>
          <w:tcPr>
            <w:tcW w:w="3261" w:type="dxa"/>
            <w:shd w:val="clear" w:color="auto" w:fill="auto"/>
          </w:tcPr>
          <w:p w14:paraId="2B0C6CC0" w14:textId="77777777" w:rsidR="00441E35" w:rsidRPr="00441E35" w:rsidRDefault="00441E35" w:rsidP="00441E35">
            <w:pPr>
              <w:suppressAutoHyphens w:val="0"/>
              <w:rPr>
                <w:i/>
                <w:iCs/>
                <w:color w:val="222222"/>
                <w:lang w:eastAsia="pt-BR"/>
              </w:rPr>
            </w:pPr>
            <w:r w:rsidRPr="00441E35">
              <w:rPr>
                <w:i/>
                <w:iCs/>
                <w:color w:val="222222"/>
                <w:lang w:eastAsia="pt-BR"/>
              </w:rPr>
              <w:t>20%</w:t>
            </w:r>
          </w:p>
        </w:tc>
      </w:tr>
      <w:tr w:rsidR="00441E35" w:rsidRPr="00441E35" w14:paraId="6453DF15" w14:textId="77777777" w:rsidTr="00441E35">
        <w:trPr>
          <w:trHeight w:val="270"/>
        </w:trPr>
        <w:tc>
          <w:tcPr>
            <w:tcW w:w="2015" w:type="dxa"/>
            <w:shd w:val="clear" w:color="auto" w:fill="auto"/>
          </w:tcPr>
          <w:p w14:paraId="3056A430" w14:textId="77777777" w:rsidR="00441E35" w:rsidRPr="00441E35" w:rsidRDefault="00441E35" w:rsidP="00441E35">
            <w:pPr>
              <w:suppressAutoHyphens w:val="0"/>
              <w:rPr>
                <w:i/>
                <w:iCs/>
                <w:color w:val="222222"/>
                <w:lang w:eastAsia="pt-BR"/>
              </w:rPr>
            </w:pPr>
          </w:p>
        </w:tc>
        <w:tc>
          <w:tcPr>
            <w:tcW w:w="2141" w:type="dxa"/>
            <w:shd w:val="clear" w:color="auto" w:fill="auto"/>
          </w:tcPr>
          <w:p w14:paraId="06E596BD" w14:textId="77777777" w:rsidR="00441E35" w:rsidRPr="00441E35" w:rsidRDefault="00441E35" w:rsidP="00441E35">
            <w:pPr>
              <w:suppressAutoHyphens w:val="0"/>
              <w:rPr>
                <w:i/>
                <w:iCs/>
                <w:color w:val="222222"/>
                <w:lang w:eastAsia="pt-BR"/>
              </w:rPr>
            </w:pPr>
            <w:r w:rsidRPr="00441E35">
              <w:rPr>
                <w:i/>
                <w:iCs/>
                <w:color w:val="222222"/>
                <w:lang w:eastAsia="pt-BR"/>
              </w:rPr>
              <w:t>Alto</w:t>
            </w:r>
          </w:p>
        </w:tc>
        <w:tc>
          <w:tcPr>
            <w:tcW w:w="3261" w:type="dxa"/>
            <w:shd w:val="clear" w:color="auto" w:fill="auto"/>
          </w:tcPr>
          <w:p w14:paraId="30D48736" w14:textId="77777777" w:rsidR="00441E35" w:rsidRPr="00441E35" w:rsidRDefault="00441E35" w:rsidP="00441E35">
            <w:pPr>
              <w:suppressAutoHyphens w:val="0"/>
              <w:rPr>
                <w:i/>
                <w:iCs/>
                <w:color w:val="222222"/>
                <w:lang w:eastAsia="pt-BR"/>
              </w:rPr>
            </w:pPr>
            <w:r w:rsidRPr="00441E35">
              <w:rPr>
                <w:i/>
                <w:iCs/>
                <w:color w:val="222222"/>
                <w:lang w:eastAsia="pt-BR"/>
              </w:rPr>
              <w:t>22%</w:t>
            </w:r>
          </w:p>
        </w:tc>
      </w:tr>
      <w:tr w:rsidR="00441E35" w:rsidRPr="00441E35" w14:paraId="6E4EC008" w14:textId="77777777" w:rsidTr="00441E35">
        <w:trPr>
          <w:trHeight w:val="270"/>
        </w:trPr>
        <w:tc>
          <w:tcPr>
            <w:tcW w:w="2015" w:type="dxa"/>
            <w:shd w:val="clear" w:color="auto" w:fill="auto"/>
          </w:tcPr>
          <w:p w14:paraId="00A218E0" w14:textId="77777777" w:rsidR="00441E35" w:rsidRPr="00441E35" w:rsidRDefault="00441E35" w:rsidP="00441E35">
            <w:pPr>
              <w:suppressAutoHyphens w:val="0"/>
              <w:rPr>
                <w:i/>
                <w:iCs/>
                <w:color w:val="222222"/>
                <w:lang w:eastAsia="pt-BR"/>
              </w:rPr>
            </w:pPr>
            <w:r w:rsidRPr="00441E35">
              <w:rPr>
                <w:i/>
                <w:iCs/>
                <w:color w:val="222222"/>
                <w:lang w:eastAsia="pt-BR"/>
              </w:rPr>
              <w:t>Comercial</w:t>
            </w:r>
          </w:p>
        </w:tc>
        <w:tc>
          <w:tcPr>
            <w:tcW w:w="2141" w:type="dxa"/>
            <w:shd w:val="clear" w:color="auto" w:fill="auto"/>
          </w:tcPr>
          <w:p w14:paraId="65A10098" w14:textId="77777777" w:rsidR="00441E35" w:rsidRPr="00441E35" w:rsidRDefault="00441E35" w:rsidP="00441E35">
            <w:pPr>
              <w:suppressAutoHyphens w:val="0"/>
              <w:rPr>
                <w:i/>
                <w:iCs/>
                <w:color w:val="222222"/>
                <w:lang w:eastAsia="pt-BR"/>
              </w:rPr>
            </w:pPr>
            <w:r w:rsidRPr="00441E35">
              <w:rPr>
                <w:i/>
                <w:iCs/>
                <w:color w:val="222222"/>
                <w:lang w:eastAsia="pt-BR"/>
              </w:rPr>
              <w:t>Médio</w:t>
            </w:r>
          </w:p>
        </w:tc>
        <w:tc>
          <w:tcPr>
            <w:tcW w:w="3261" w:type="dxa"/>
            <w:shd w:val="clear" w:color="auto" w:fill="auto"/>
          </w:tcPr>
          <w:p w14:paraId="6CA0C266" w14:textId="77777777" w:rsidR="00441E35" w:rsidRPr="00441E35" w:rsidRDefault="00441E35" w:rsidP="00441E35">
            <w:pPr>
              <w:suppressAutoHyphens w:val="0"/>
              <w:rPr>
                <w:i/>
                <w:iCs/>
                <w:color w:val="222222"/>
                <w:lang w:eastAsia="pt-BR"/>
              </w:rPr>
            </w:pPr>
            <w:r w:rsidRPr="00441E35">
              <w:rPr>
                <w:i/>
                <w:iCs/>
                <w:color w:val="222222"/>
                <w:lang w:eastAsia="pt-BR"/>
              </w:rPr>
              <w:t>20%</w:t>
            </w:r>
          </w:p>
        </w:tc>
      </w:tr>
    </w:tbl>
    <w:p w14:paraId="5E29F235" w14:textId="77777777" w:rsidR="00441E35" w:rsidRPr="00441E35" w:rsidRDefault="00441E35" w:rsidP="00441E35">
      <w:pPr>
        <w:shd w:val="clear" w:color="auto" w:fill="FFFFFF"/>
        <w:suppressAutoHyphens w:val="0"/>
        <w:rPr>
          <w:color w:val="222222"/>
          <w:lang w:eastAsia="pt-BR"/>
        </w:rPr>
      </w:pPr>
      <w:r w:rsidRPr="00441E35">
        <w:rPr>
          <w:i/>
          <w:iCs/>
          <w:color w:val="222222"/>
          <w:lang w:eastAsia="pt-BR"/>
        </w:rPr>
        <w:t> </w:t>
      </w:r>
    </w:p>
    <w:p w14:paraId="0A3DCC79" w14:textId="77777777" w:rsidR="00441E35" w:rsidRPr="00441E35" w:rsidRDefault="00441E35" w:rsidP="00441E35">
      <w:pPr>
        <w:shd w:val="clear" w:color="auto" w:fill="FFFFFF"/>
        <w:suppressAutoHyphens w:val="0"/>
        <w:ind w:left="709"/>
        <w:jc w:val="both"/>
        <w:rPr>
          <w:bCs/>
          <w:i/>
          <w:iCs/>
          <w:color w:val="222222"/>
          <w:lang w:eastAsia="pt-BR"/>
        </w:rPr>
      </w:pPr>
      <w:r w:rsidRPr="00441E35">
        <w:rPr>
          <w:bCs/>
          <w:i/>
          <w:iCs/>
          <w:color w:val="222222"/>
          <w:lang w:eastAsia="pt-BR"/>
        </w:rPr>
        <w:t>V – O cálculo do imposto, considerando o disposto no inciso anterior, dar-se-á com base no primeiro e no segundo cálculos, mediante a aplicação das seguintes fórmulas:</w:t>
      </w:r>
    </w:p>
    <w:p w14:paraId="7FDA030A" w14:textId="77777777" w:rsidR="00441E35" w:rsidRPr="00441E35" w:rsidRDefault="00441E35" w:rsidP="00441E35">
      <w:pPr>
        <w:shd w:val="clear" w:color="auto" w:fill="FFFFFF"/>
        <w:suppressAutoHyphens w:val="0"/>
        <w:ind w:left="709"/>
        <w:jc w:val="both"/>
        <w:rPr>
          <w:bCs/>
          <w:i/>
          <w:iCs/>
          <w:color w:val="222222"/>
          <w:lang w:eastAsia="pt-BR"/>
        </w:rPr>
      </w:pPr>
      <w:r w:rsidRPr="00441E35">
        <w:rPr>
          <w:bCs/>
          <w:i/>
          <w:iCs/>
          <w:color w:val="222222"/>
          <w:lang w:eastAsia="pt-BR"/>
        </w:rPr>
        <w:t xml:space="preserve">a) PRIMEIRO CÁLCULO: </w:t>
      </w:r>
    </w:p>
    <w:p w14:paraId="69B3829A" w14:textId="77777777" w:rsidR="00441E35" w:rsidRPr="00441E35" w:rsidRDefault="00441E35" w:rsidP="00441E35">
      <w:pPr>
        <w:shd w:val="clear" w:color="auto" w:fill="FFFFFF"/>
        <w:suppressAutoHyphens w:val="0"/>
        <w:ind w:left="709" w:hanging="1"/>
        <w:jc w:val="both"/>
        <w:rPr>
          <w:b/>
          <w:bCs/>
          <w:i/>
          <w:iCs/>
          <w:color w:val="222222"/>
          <w:lang w:eastAsia="pt-BR"/>
        </w:rPr>
      </w:pPr>
      <w:r w:rsidRPr="00441E35">
        <w:rPr>
          <w:b/>
          <w:bCs/>
          <w:i/>
          <w:iCs/>
          <w:color w:val="222222"/>
          <w:lang w:eastAsia="pt-BR"/>
        </w:rPr>
        <w:t>FÓRMULA: vm = mi x %CUB – DMO</w:t>
      </w:r>
    </w:p>
    <w:p w14:paraId="26A64469" w14:textId="77777777" w:rsidR="00441E35" w:rsidRPr="00441E35" w:rsidRDefault="00441E35" w:rsidP="00441E35">
      <w:pPr>
        <w:shd w:val="clear" w:color="auto" w:fill="FFFFFF"/>
        <w:suppressAutoHyphens w:val="0"/>
        <w:ind w:left="709" w:hanging="1"/>
        <w:jc w:val="both"/>
        <w:rPr>
          <w:bCs/>
          <w:iCs/>
          <w:color w:val="222222"/>
          <w:lang w:eastAsia="pt-BR"/>
        </w:rPr>
      </w:pPr>
      <w:r w:rsidRPr="00441E35">
        <w:rPr>
          <w:bCs/>
          <w:iCs/>
          <w:color w:val="222222"/>
          <w:lang w:eastAsia="pt-BR"/>
        </w:rPr>
        <w:t>Onde:</w:t>
      </w:r>
    </w:p>
    <w:p w14:paraId="539B2A4A" w14:textId="77777777" w:rsidR="00441E35" w:rsidRPr="00441E35" w:rsidRDefault="00441E35" w:rsidP="00441E35">
      <w:pPr>
        <w:shd w:val="clear" w:color="auto" w:fill="FFFFFF"/>
        <w:suppressAutoHyphens w:val="0"/>
        <w:ind w:left="709" w:hanging="1"/>
        <w:jc w:val="both"/>
        <w:rPr>
          <w:bCs/>
          <w:iCs/>
          <w:color w:val="222222"/>
          <w:lang w:eastAsia="pt-BR"/>
        </w:rPr>
      </w:pPr>
      <w:r w:rsidRPr="00441E35">
        <w:rPr>
          <w:bCs/>
          <w:iCs/>
          <w:color w:val="222222"/>
          <w:lang w:eastAsia="pt-BR"/>
        </w:rPr>
        <w:t xml:space="preserve">vm - </w:t>
      </w:r>
      <w:r w:rsidRPr="00441E35">
        <w:rPr>
          <w:bCs/>
          <w:i/>
          <w:iCs/>
          <w:color w:val="222222"/>
          <w:lang w:eastAsia="pt-BR"/>
        </w:rPr>
        <w:t>valor do m2 da edificação, com base na tabela prevista no inciso anterior, com desconto do valor das notas fiscais de prestação de serviço (mão de obra) apresentadas ao fisco durante o prazo de validade do Alvará de Licença para Construção;</w:t>
      </w:r>
    </w:p>
    <w:p w14:paraId="02B230ED"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mi – metragem da edificação;</w:t>
      </w:r>
    </w:p>
    <w:p w14:paraId="090BB7FD"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%CUB – percentual aplicável de acordo com o tipo e o padrão da construção, conforme tabela disposta no inciso anterior;</w:t>
      </w:r>
    </w:p>
    <w:p w14:paraId="219E07C2" w14:textId="77777777" w:rsidR="00441E35" w:rsidRPr="00441E35" w:rsidRDefault="00441E35" w:rsidP="00441E35">
      <w:pPr>
        <w:shd w:val="clear" w:color="auto" w:fill="FFFFFF"/>
        <w:suppressAutoHyphens w:val="0"/>
        <w:ind w:left="709" w:hanging="1"/>
        <w:jc w:val="both"/>
        <w:rPr>
          <w:b/>
          <w:bCs/>
          <w:i/>
          <w:iCs/>
          <w:color w:val="222222"/>
          <w:lang w:eastAsia="pt-BR"/>
        </w:rPr>
      </w:pPr>
      <w:r w:rsidRPr="00441E35">
        <w:rPr>
          <w:bCs/>
          <w:i/>
          <w:iCs/>
          <w:color w:val="222222"/>
          <w:lang w:eastAsia="pt-BR"/>
        </w:rPr>
        <w:t>DMO – desconto do valor das notas fiscais de prestação de serviço (mão de obra) apresentadas ao fisco durante o prazo de validade do Alvará de Licença para Construção.</w:t>
      </w:r>
    </w:p>
    <w:p w14:paraId="469C5357"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b) SEGUNDO CÁLCULO:</w:t>
      </w:r>
    </w:p>
    <w:p w14:paraId="76361232" w14:textId="77777777" w:rsidR="00441E35" w:rsidRPr="00441E35" w:rsidRDefault="00441E35" w:rsidP="00441E35">
      <w:pPr>
        <w:shd w:val="clear" w:color="auto" w:fill="FFFFFF"/>
        <w:suppressAutoHyphens w:val="0"/>
        <w:ind w:left="709" w:hanging="1"/>
        <w:jc w:val="both"/>
        <w:rPr>
          <w:b/>
          <w:bCs/>
          <w:i/>
          <w:iCs/>
          <w:color w:val="222222"/>
          <w:lang w:eastAsia="pt-BR"/>
        </w:rPr>
      </w:pPr>
      <w:r w:rsidRPr="00441E35">
        <w:rPr>
          <w:b/>
          <w:bCs/>
          <w:i/>
          <w:iCs/>
          <w:color w:val="222222"/>
          <w:lang w:eastAsia="pt-BR"/>
        </w:rPr>
        <w:t>FÓRUMLA: VI = mi x vm x ai</w:t>
      </w:r>
    </w:p>
    <w:p w14:paraId="13650BBE"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Onde:</w:t>
      </w:r>
    </w:p>
    <w:p w14:paraId="26802A01"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VI – Valor do ISSQN;</w:t>
      </w:r>
    </w:p>
    <w:p w14:paraId="1DD821C3"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mi - metragem da edificação;</w:t>
      </w:r>
    </w:p>
    <w:p w14:paraId="0793EE90" w14:textId="77777777" w:rsidR="00441E35" w:rsidRP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lastRenderedPageBreak/>
        <w:t>vm - valor do m2 da edificação, com base na tabela prevista no inciso anterior, com desconto do valor das notas fiscais de prestação de serviço (mão de obra) apresentadas ao fisco durante o prazo de validade do Alvará de Licença para Construção;</w:t>
      </w:r>
    </w:p>
    <w:p w14:paraId="5133D10B" w14:textId="18587113" w:rsidR="00441E35" w:rsidRDefault="00441E35" w:rsidP="00441E35">
      <w:pPr>
        <w:shd w:val="clear" w:color="auto" w:fill="FFFFFF"/>
        <w:suppressAutoHyphens w:val="0"/>
        <w:ind w:left="709" w:hanging="1"/>
        <w:jc w:val="both"/>
        <w:rPr>
          <w:bCs/>
          <w:i/>
          <w:iCs/>
          <w:color w:val="222222"/>
          <w:lang w:eastAsia="pt-BR"/>
        </w:rPr>
      </w:pPr>
      <w:r w:rsidRPr="00441E35">
        <w:rPr>
          <w:bCs/>
          <w:i/>
          <w:iCs/>
          <w:color w:val="222222"/>
          <w:lang w:eastAsia="pt-BR"/>
        </w:rPr>
        <w:t>ai - alíquota do ISSQN, no percentual de 3%.</w:t>
      </w:r>
    </w:p>
    <w:p w14:paraId="13F694A9" w14:textId="77777777" w:rsidR="00441E35" w:rsidRPr="00441E35" w:rsidRDefault="00441E35" w:rsidP="00441E35">
      <w:pPr>
        <w:shd w:val="clear" w:color="auto" w:fill="FFFFFF"/>
        <w:suppressAutoHyphens w:val="0"/>
        <w:ind w:left="709" w:hanging="1"/>
        <w:jc w:val="both"/>
        <w:rPr>
          <w:color w:val="222222"/>
          <w:lang w:eastAsia="pt-BR"/>
        </w:rPr>
      </w:pPr>
    </w:p>
    <w:p w14:paraId="4BE77ED1" w14:textId="77777777" w:rsidR="00441E35" w:rsidRPr="00441E35" w:rsidRDefault="00441E35" w:rsidP="00441E35">
      <w:pPr>
        <w:shd w:val="clear" w:color="auto" w:fill="FFFFFF"/>
        <w:suppressAutoHyphens w:val="0"/>
        <w:ind w:firstLine="708"/>
        <w:jc w:val="both"/>
        <w:rPr>
          <w:color w:val="222222"/>
          <w:lang w:eastAsia="pt-BR"/>
        </w:rPr>
      </w:pPr>
      <w:r w:rsidRPr="00441E35">
        <w:rPr>
          <w:b/>
          <w:bCs/>
          <w:color w:val="222222"/>
          <w:lang w:eastAsia="pt-BR"/>
        </w:rPr>
        <w:t>Art. 2º</w:t>
      </w:r>
      <w:r w:rsidRPr="00441E35">
        <w:rPr>
          <w:color w:val="222222"/>
          <w:lang w:eastAsia="pt-BR"/>
        </w:rPr>
        <w:t> O art. 192 da Lei Complementar 001/2005 passa a vigorar com a seguinte redação:</w:t>
      </w:r>
    </w:p>
    <w:p w14:paraId="0AF90061" w14:textId="77777777" w:rsidR="00441E35" w:rsidRPr="00441E35" w:rsidRDefault="00441E35" w:rsidP="00441E35">
      <w:pPr>
        <w:shd w:val="clear" w:color="auto" w:fill="FFFFFF"/>
        <w:suppressAutoHyphens w:val="0"/>
        <w:jc w:val="both"/>
        <w:rPr>
          <w:color w:val="222222"/>
          <w:lang w:eastAsia="pt-BR"/>
        </w:rPr>
      </w:pPr>
    </w:p>
    <w:p w14:paraId="0D9044A9" w14:textId="77777777" w:rsidR="00441E35" w:rsidRPr="00441E35" w:rsidRDefault="00441E35" w:rsidP="00441E35">
      <w:pPr>
        <w:shd w:val="clear" w:color="auto" w:fill="FFFFFF"/>
        <w:suppressAutoHyphens w:val="0"/>
        <w:ind w:left="709"/>
        <w:jc w:val="both"/>
        <w:rPr>
          <w:color w:val="222222"/>
          <w:lang w:eastAsia="pt-BR"/>
        </w:rPr>
      </w:pPr>
      <w:r w:rsidRPr="00441E35">
        <w:rPr>
          <w:b/>
          <w:bCs/>
          <w:i/>
          <w:iCs/>
          <w:color w:val="222222"/>
          <w:lang w:eastAsia="pt-BR"/>
        </w:rPr>
        <w:t>“Art. 192. </w:t>
      </w:r>
      <w:r w:rsidRPr="00441E35">
        <w:rPr>
          <w:bCs/>
          <w:i/>
          <w:iCs/>
          <w:color w:val="222222"/>
          <w:lang w:eastAsia="pt-BR"/>
        </w:rPr>
        <w:t>A pedido do contribuinte, o</w:t>
      </w:r>
      <w:r w:rsidRPr="00441E35">
        <w:rPr>
          <w:i/>
          <w:iCs/>
          <w:color w:val="222222"/>
          <w:lang w:eastAsia="pt-BR"/>
        </w:rPr>
        <w:t xml:space="preserve"> ISSQN poderá ser recolhido aos cofres municipais durante a execução da obra, com base no grau de absorção da mão de obra, durante o prazo máximo de vigência do respectivo Alvará de Licença para Construção.”</w:t>
      </w:r>
    </w:p>
    <w:p w14:paraId="72A6BC71" w14:textId="77777777" w:rsidR="00441E35" w:rsidRPr="00441E35" w:rsidRDefault="00441E35" w:rsidP="00441E35">
      <w:pPr>
        <w:shd w:val="clear" w:color="auto" w:fill="FFFFFF"/>
        <w:suppressAutoHyphens w:val="0"/>
        <w:jc w:val="both"/>
        <w:rPr>
          <w:color w:val="222222"/>
          <w:lang w:eastAsia="pt-BR"/>
        </w:rPr>
      </w:pPr>
      <w:r w:rsidRPr="00441E35">
        <w:rPr>
          <w:b/>
          <w:bCs/>
          <w:i/>
          <w:iCs/>
          <w:color w:val="222222"/>
          <w:lang w:eastAsia="pt-BR"/>
        </w:rPr>
        <w:t>                       </w:t>
      </w:r>
    </w:p>
    <w:p w14:paraId="01982BF9" w14:textId="77777777" w:rsidR="00441E35" w:rsidRPr="00441E35" w:rsidRDefault="00441E35" w:rsidP="00441E35">
      <w:pPr>
        <w:shd w:val="clear" w:color="auto" w:fill="FFFFFF"/>
        <w:suppressAutoHyphens w:val="0"/>
        <w:ind w:firstLine="708"/>
        <w:jc w:val="both"/>
        <w:rPr>
          <w:color w:val="222222"/>
          <w:lang w:eastAsia="pt-BR"/>
        </w:rPr>
      </w:pPr>
      <w:r w:rsidRPr="00441E35">
        <w:rPr>
          <w:b/>
          <w:bCs/>
          <w:color w:val="222222"/>
          <w:lang w:eastAsia="pt-BR"/>
        </w:rPr>
        <w:t>Art. 3º</w:t>
      </w:r>
      <w:r w:rsidRPr="00441E35">
        <w:rPr>
          <w:color w:val="222222"/>
          <w:lang w:eastAsia="pt-BR"/>
        </w:rPr>
        <w:t> Os demais artigos da Lei Complementar nº 001/2005 permanecem inalterados.</w:t>
      </w:r>
    </w:p>
    <w:p w14:paraId="45DB98BE" w14:textId="77777777" w:rsidR="00441E35" w:rsidRPr="00441E35" w:rsidRDefault="00441E35" w:rsidP="00441E35">
      <w:pPr>
        <w:shd w:val="clear" w:color="auto" w:fill="FFFFFF"/>
        <w:suppressAutoHyphens w:val="0"/>
        <w:jc w:val="both"/>
        <w:rPr>
          <w:color w:val="222222"/>
          <w:lang w:eastAsia="pt-BR"/>
        </w:rPr>
      </w:pPr>
      <w:r w:rsidRPr="00441E35">
        <w:rPr>
          <w:b/>
          <w:bCs/>
          <w:color w:val="222222"/>
          <w:lang w:eastAsia="pt-BR"/>
        </w:rPr>
        <w:t> </w:t>
      </w:r>
    </w:p>
    <w:p w14:paraId="147F8E17" w14:textId="77777777" w:rsidR="00441E35" w:rsidRPr="00441E35" w:rsidRDefault="00441E35" w:rsidP="00441E35">
      <w:pPr>
        <w:shd w:val="clear" w:color="auto" w:fill="FFFFFF"/>
        <w:suppressAutoHyphens w:val="0"/>
        <w:spacing w:before="120"/>
        <w:jc w:val="both"/>
        <w:rPr>
          <w:color w:val="222222"/>
          <w:lang w:eastAsia="pt-BR"/>
        </w:rPr>
      </w:pPr>
      <w:r w:rsidRPr="00441E35">
        <w:rPr>
          <w:b/>
          <w:bCs/>
          <w:color w:val="222222"/>
          <w:lang w:eastAsia="pt-BR"/>
        </w:rPr>
        <w:t>           Art. 4º</w:t>
      </w:r>
      <w:r w:rsidRPr="00441E35">
        <w:rPr>
          <w:color w:val="222222"/>
          <w:lang w:eastAsia="pt-BR"/>
        </w:rPr>
        <w:t> Esta Lei Complementar entra em vigor na data de sua publicação, revogando-se as disposições em sentido contrário.</w:t>
      </w:r>
    </w:p>
    <w:tbl>
      <w:tblPr>
        <w:tblW w:w="0" w:type="auto"/>
        <w:tblCellMar>
          <w:top w:w="15" w:type="dxa"/>
          <w:left w:w="15" w:type="dxa"/>
          <w:bottom w:w="15" w:type="dxa"/>
          <w:right w:w="15" w:type="dxa"/>
        </w:tblCellMar>
        <w:tblLook w:val="04A0" w:firstRow="1" w:lastRow="0" w:firstColumn="1" w:lastColumn="0" w:noHBand="0" w:noVBand="1"/>
      </w:tblPr>
      <w:tblGrid>
        <w:gridCol w:w="591"/>
        <w:gridCol w:w="8621"/>
      </w:tblGrid>
      <w:tr w:rsidR="00441E35" w:rsidRPr="00441E35" w14:paraId="27355BFC" w14:textId="77777777" w:rsidTr="009E2219">
        <w:tc>
          <w:tcPr>
            <w:tcW w:w="660" w:type="dxa"/>
            <w:tcMar>
              <w:top w:w="0" w:type="dxa"/>
              <w:left w:w="240" w:type="dxa"/>
              <w:bottom w:w="0" w:type="dxa"/>
              <w:right w:w="240" w:type="dxa"/>
            </w:tcMar>
            <w:hideMark/>
          </w:tcPr>
          <w:p w14:paraId="7C7AB7DB" w14:textId="77777777" w:rsidR="00441E35" w:rsidRPr="00441E35" w:rsidRDefault="00441E35" w:rsidP="00441E35">
            <w:pPr>
              <w:suppressAutoHyphens w:val="0"/>
              <w:rPr>
                <w:rFonts w:ascii="Helvetica" w:hAnsi="Helvetica" w:cs="Helvetica"/>
                <w:lang w:eastAsia="pt-BR"/>
              </w:rPr>
            </w:pPr>
          </w:p>
        </w:tc>
        <w:tc>
          <w:tcPr>
            <w:tcW w:w="14250" w:type="dxa"/>
            <w:tcMar>
              <w:top w:w="0" w:type="dxa"/>
              <w:left w:w="0" w:type="dxa"/>
              <w:bottom w:w="0" w:type="dxa"/>
              <w:right w:w="0" w:type="dxa"/>
            </w:tcMar>
            <w:vAlign w:val="center"/>
            <w:hideMark/>
          </w:tcPr>
          <w:p w14:paraId="0AEC52E9" w14:textId="77777777" w:rsidR="00441E35" w:rsidRPr="00441E35" w:rsidRDefault="00441E35" w:rsidP="00441E35">
            <w:pPr>
              <w:shd w:val="clear" w:color="auto" w:fill="FFFFFF"/>
              <w:suppressAutoHyphens w:val="0"/>
              <w:spacing w:line="300" w:lineRule="atLeast"/>
              <w:rPr>
                <w:rFonts w:ascii="Helvetica" w:hAnsi="Helvetica" w:cs="Helvetica"/>
                <w:color w:val="222222"/>
                <w:lang w:eastAsia="pt-BR"/>
              </w:rPr>
            </w:pPr>
          </w:p>
        </w:tc>
      </w:tr>
    </w:tbl>
    <w:p w14:paraId="451693E2" w14:textId="77777777" w:rsidR="00441E35" w:rsidRPr="00441E35" w:rsidRDefault="00441E35" w:rsidP="00441E35">
      <w:pPr>
        <w:suppressAutoHyphens w:val="0"/>
        <w:spacing w:after="160" w:line="259" w:lineRule="auto"/>
        <w:rPr>
          <w:rFonts w:ascii="Calibri" w:eastAsia="Calibri" w:hAnsi="Calibri"/>
          <w:sz w:val="22"/>
          <w:szCs w:val="22"/>
          <w:lang w:eastAsia="en-US"/>
        </w:rPr>
      </w:pPr>
    </w:p>
    <w:p w14:paraId="7C98BE70" w14:textId="0E342DEE" w:rsidR="00744BDA" w:rsidRDefault="00744BDA" w:rsidP="00441E35">
      <w:pPr>
        <w:ind w:left="1985" w:hanging="284"/>
        <w:jc w:val="both"/>
        <w:rPr>
          <w:b/>
        </w:rPr>
      </w:pPr>
    </w:p>
    <w:p w14:paraId="0ACEB6FE" w14:textId="77777777" w:rsidR="00744BDA" w:rsidRDefault="00744BDA">
      <w:pPr>
        <w:jc w:val="right"/>
        <w:rPr>
          <w:b/>
        </w:rPr>
      </w:pPr>
    </w:p>
    <w:p w14:paraId="374EDBC1" w14:textId="16E028F6" w:rsidR="00744BDA" w:rsidRDefault="00C1343F">
      <w:pPr>
        <w:jc w:val="right"/>
      </w:pPr>
      <w:r>
        <w:t xml:space="preserve">Município de Anchieta/SC, </w:t>
      </w:r>
      <w:r w:rsidR="00441E35">
        <w:t>07 de junho</w:t>
      </w:r>
      <w:r>
        <w:t xml:space="preserve"> de 2022.</w:t>
      </w:r>
    </w:p>
    <w:p w14:paraId="67515EC4" w14:textId="77777777" w:rsidR="00744BDA" w:rsidRDefault="00744BDA">
      <w:pPr>
        <w:jc w:val="right"/>
      </w:pPr>
    </w:p>
    <w:p w14:paraId="37AD755F" w14:textId="77777777" w:rsidR="00744BDA" w:rsidRDefault="00744BDA">
      <w:pPr>
        <w:jc w:val="right"/>
      </w:pPr>
    </w:p>
    <w:p w14:paraId="147C9422" w14:textId="77777777" w:rsidR="00744BDA" w:rsidRDefault="00744BDA">
      <w:pPr>
        <w:jc w:val="right"/>
      </w:pPr>
    </w:p>
    <w:p w14:paraId="0A4B8EEF" w14:textId="77777777" w:rsidR="00744BDA" w:rsidRDefault="00744BDA">
      <w:pPr>
        <w:jc w:val="right"/>
      </w:pPr>
    </w:p>
    <w:p w14:paraId="0FB70B3E" w14:textId="77777777" w:rsidR="00744BDA" w:rsidRDefault="00C1343F">
      <w:pPr>
        <w:jc w:val="center"/>
        <w:rPr>
          <w:b/>
        </w:rPr>
      </w:pPr>
      <w:r>
        <w:rPr>
          <w:b/>
        </w:rPr>
        <w:t>IVAN JOSÉ CANCI</w:t>
      </w:r>
    </w:p>
    <w:p w14:paraId="7C3707A3" w14:textId="77777777" w:rsidR="00744BDA" w:rsidRDefault="00C1343F">
      <w:pPr>
        <w:jc w:val="center"/>
      </w:pPr>
      <w:r>
        <w:t>Prefeito Municipal</w:t>
      </w:r>
    </w:p>
    <w:p w14:paraId="662CE84E" w14:textId="77777777" w:rsidR="00744BDA" w:rsidRDefault="00744BDA">
      <w:pPr>
        <w:jc w:val="center"/>
      </w:pPr>
    </w:p>
    <w:p w14:paraId="63D8EE59" w14:textId="5562FF60" w:rsidR="00744BDA" w:rsidRDefault="00744BDA">
      <w:pPr>
        <w:jc w:val="center"/>
      </w:pPr>
    </w:p>
    <w:p w14:paraId="51EBD90B" w14:textId="5FF26CA9" w:rsidR="00AC1A46" w:rsidRDefault="00AC1A46">
      <w:pPr>
        <w:jc w:val="center"/>
      </w:pPr>
    </w:p>
    <w:p w14:paraId="723F7E49" w14:textId="08DCB022" w:rsidR="00AC1A46" w:rsidRDefault="00AC1A46">
      <w:pPr>
        <w:jc w:val="center"/>
      </w:pPr>
    </w:p>
    <w:p w14:paraId="155DB456" w14:textId="46DC129F" w:rsidR="00AC1A46" w:rsidRDefault="00AC1A46">
      <w:pPr>
        <w:jc w:val="center"/>
      </w:pPr>
    </w:p>
    <w:p w14:paraId="03C32D44" w14:textId="71AC3276" w:rsidR="00AC1A46" w:rsidRDefault="00AC1A46">
      <w:pPr>
        <w:jc w:val="center"/>
      </w:pPr>
    </w:p>
    <w:p w14:paraId="7618D1E0" w14:textId="313865B4" w:rsidR="00AC1A46" w:rsidRDefault="00AC1A46">
      <w:pPr>
        <w:jc w:val="center"/>
      </w:pPr>
    </w:p>
    <w:p w14:paraId="5BA27072" w14:textId="01C0BF40" w:rsidR="00AC1A46" w:rsidRDefault="00AC1A46">
      <w:pPr>
        <w:jc w:val="center"/>
      </w:pPr>
    </w:p>
    <w:p w14:paraId="5A75BB10" w14:textId="71963339" w:rsidR="00AC1A46" w:rsidRDefault="00AC1A46">
      <w:pPr>
        <w:jc w:val="center"/>
      </w:pPr>
    </w:p>
    <w:p w14:paraId="2A37FD75" w14:textId="41032CC6" w:rsidR="00AC1A46" w:rsidRDefault="00AC1A46">
      <w:pPr>
        <w:jc w:val="center"/>
      </w:pPr>
    </w:p>
    <w:p w14:paraId="31D97568" w14:textId="7E79E993" w:rsidR="00AC1A46" w:rsidRDefault="00AC1A46">
      <w:pPr>
        <w:jc w:val="center"/>
      </w:pPr>
    </w:p>
    <w:p w14:paraId="2602A198" w14:textId="4DFDFAFE" w:rsidR="00AC1A46" w:rsidRDefault="00AC1A46">
      <w:pPr>
        <w:jc w:val="center"/>
      </w:pPr>
    </w:p>
    <w:p w14:paraId="2392B3A6" w14:textId="4E02A4D2" w:rsidR="00AC1A46" w:rsidRDefault="00AC1A46">
      <w:pPr>
        <w:jc w:val="center"/>
      </w:pPr>
    </w:p>
    <w:p w14:paraId="5679EAFF" w14:textId="1E392942" w:rsidR="00AC1A46" w:rsidRDefault="00AC1A46">
      <w:pPr>
        <w:jc w:val="center"/>
      </w:pPr>
    </w:p>
    <w:p w14:paraId="11F07CAE" w14:textId="51EBDF6C" w:rsidR="00AC1A46" w:rsidRDefault="00AC1A46">
      <w:pPr>
        <w:jc w:val="center"/>
      </w:pPr>
    </w:p>
    <w:p w14:paraId="60E7259F" w14:textId="1E9B3A7A" w:rsidR="00AC1A46" w:rsidRDefault="00AC1A46">
      <w:pPr>
        <w:jc w:val="center"/>
      </w:pPr>
    </w:p>
    <w:p w14:paraId="441F1B82" w14:textId="786F251D" w:rsidR="00AC1A46" w:rsidRDefault="00AC1A46">
      <w:pPr>
        <w:jc w:val="center"/>
      </w:pPr>
    </w:p>
    <w:p w14:paraId="5AEFB009" w14:textId="384135B1" w:rsidR="00AC1A46" w:rsidRDefault="00AC1A46">
      <w:pPr>
        <w:jc w:val="center"/>
      </w:pPr>
    </w:p>
    <w:p w14:paraId="38B59AC6" w14:textId="29FF5EBF" w:rsidR="00AC1A46" w:rsidRDefault="00AC1A46">
      <w:pPr>
        <w:jc w:val="center"/>
      </w:pPr>
    </w:p>
    <w:p w14:paraId="44E27D6F" w14:textId="3FF2E012" w:rsidR="00AC1A46" w:rsidRDefault="00AC1A46">
      <w:pPr>
        <w:jc w:val="center"/>
      </w:pPr>
    </w:p>
    <w:p w14:paraId="324D7A56" w14:textId="615B1141" w:rsidR="00AC1A46" w:rsidRDefault="00AC1A46">
      <w:pPr>
        <w:jc w:val="center"/>
      </w:pPr>
    </w:p>
    <w:p w14:paraId="143CA965" w14:textId="77777777" w:rsidR="00744BDA" w:rsidRDefault="00744BDA">
      <w:pPr>
        <w:jc w:val="center"/>
      </w:pPr>
    </w:p>
    <w:p w14:paraId="763B5218" w14:textId="75B1D80E" w:rsidR="00744BDA" w:rsidRPr="00441E35" w:rsidRDefault="00C1343F">
      <w:pPr>
        <w:jc w:val="center"/>
        <w:rPr>
          <w:b/>
          <w:bCs/>
          <w:u w:val="single"/>
        </w:rPr>
      </w:pPr>
      <w:r w:rsidRPr="00441E35">
        <w:rPr>
          <w:b/>
          <w:bCs/>
          <w:u w:val="single"/>
        </w:rPr>
        <w:t>JUSTIFICATIVA</w:t>
      </w:r>
    </w:p>
    <w:p w14:paraId="5CC94AB8" w14:textId="77777777" w:rsidR="00744BDA" w:rsidRDefault="00744BDA">
      <w:pPr>
        <w:jc w:val="center"/>
      </w:pPr>
    </w:p>
    <w:p w14:paraId="3144532E" w14:textId="77777777" w:rsidR="00744BDA" w:rsidRDefault="00C1343F">
      <w:pPr>
        <w:jc w:val="both"/>
      </w:pPr>
      <w:r>
        <w:tab/>
        <w:t>A presente alteração legislativa sobrevém, precipuamente, com o fito de promover uma atualização da legislação tributária municipal para fins de adequação dos valores cobrados a título de ISS (Imposto sobre Serviços de Qualquer Natureza) à realidade atual de mercado, no ínsito do procedimento legal de arbitramento.</w:t>
      </w:r>
    </w:p>
    <w:p w14:paraId="2537D97D" w14:textId="77777777" w:rsidR="00744BDA" w:rsidRDefault="00744BDA">
      <w:pPr>
        <w:jc w:val="both"/>
      </w:pPr>
    </w:p>
    <w:p w14:paraId="6A9F58B7" w14:textId="77777777" w:rsidR="00744BDA" w:rsidRDefault="00C1343F">
      <w:pPr>
        <w:jc w:val="both"/>
      </w:pPr>
      <w:r>
        <w:tab/>
        <w:t>Impende mencionar que o procedimento de arbitramento para cobrança do ISS ocorre quando não se faz possível a apuração do preço do serviço (base de cálculo) na atividade de construção civil por intermédio das informações contábeis/fiscais fornecidas pelo sujeito passivo da obrigação (contribuinte).</w:t>
      </w:r>
    </w:p>
    <w:p w14:paraId="7E1B492E" w14:textId="77777777" w:rsidR="00744BDA" w:rsidRDefault="00744BDA">
      <w:pPr>
        <w:jc w:val="both"/>
      </w:pPr>
    </w:p>
    <w:p w14:paraId="77D36EB5" w14:textId="77777777" w:rsidR="00744BDA" w:rsidRDefault="00C1343F">
      <w:pPr>
        <w:jc w:val="both"/>
      </w:pPr>
      <w:r>
        <w:tab/>
        <w:t>Sem as informações alhures mencionadas e elementares para a definição da base de cálculo, o Fisco Municipal se utiliza do procedimento descrito no art. 191 do Código Tributário Municipal (LCM nº 001/2005) e, com estribo em porcentagem incidente sobre o CUB (Custo Unitário Básico), bem como em fatores atinentes ao tipo de construção (padrão de acabamento), termina por arbitrar um valor que será utilizado como base de cálculo para apuração do montante final devido.</w:t>
      </w:r>
    </w:p>
    <w:p w14:paraId="054AFF7B" w14:textId="77777777" w:rsidR="00744BDA" w:rsidRDefault="00744BDA">
      <w:pPr>
        <w:jc w:val="both"/>
      </w:pPr>
    </w:p>
    <w:p w14:paraId="5D4873E8" w14:textId="2E7B46B2" w:rsidR="00744BDA" w:rsidRDefault="00C1343F">
      <w:pPr>
        <w:jc w:val="both"/>
      </w:pPr>
      <w:r>
        <w:tab/>
        <w:t>Ocorre que</w:t>
      </w:r>
      <w:r w:rsidR="008A741C">
        <w:t>,</w:t>
      </w:r>
      <w:r>
        <w:t xml:space="preserve"> verificou-se encontrar a fórmula atual utilizada em completa e profunda dissonância com a realidade atual de mercado, acarretando na cobrança do referido tributos em montante muito inferior ao que seria efetivamente devido, motivo pelo qual chegou esta Administração Municipal à inequívoca conclusão de que o modo de se calcular o numerário final devido do ISS no cerne do procedimento de arbitramento demanda urgente alteração.</w:t>
      </w:r>
    </w:p>
    <w:p w14:paraId="1866BC39" w14:textId="74B24C52" w:rsidR="00744BDA" w:rsidRDefault="00C1343F">
      <w:pPr>
        <w:jc w:val="both"/>
      </w:pPr>
      <w:r>
        <w:tab/>
      </w:r>
    </w:p>
    <w:p w14:paraId="384FA442" w14:textId="77777777" w:rsidR="00744BDA" w:rsidRDefault="00C1343F">
      <w:pPr>
        <w:jc w:val="both"/>
      </w:pPr>
      <w:r>
        <w:tab/>
        <w:t xml:space="preserve">É </w:t>
      </w:r>
      <w:r>
        <w:rPr>
          <w:i/>
          <w:iCs/>
        </w:rPr>
        <w:t xml:space="preserve">inconteste </w:t>
      </w:r>
      <w:r>
        <w:t>o fato de que a adequada e satisfatória prestação de serviços públicos em geral tem estreita vinculação com a receita auferida por este ente municipal a título de impostos, principalmente, e a cobrança dos referidos a níveis inferiores àqueles correspondentes à realidade factual remanesce por prejudicar o Município como um todo, uma vez que serviços básicos prestados à população podem vir a restar desguarnecidos.</w:t>
      </w:r>
    </w:p>
    <w:p w14:paraId="625D51BD" w14:textId="77777777" w:rsidR="00744BDA" w:rsidRDefault="00744BDA">
      <w:pPr>
        <w:jc w:val="both"/>
      </w:pPr>
    </w:p>
    <w:p w14:paraId="3115B0BA" w14:textId="77777777" w:rsidR="00744BDA" w:rsidRDefault="00C1343F">
      <w:pPr>
        <w:jc w:val="both"/>
      </w:pPr>
      <w:r>
        <w:tab/>
        <w:t>É por esse motivo, por conseguinte, que se busca a presente alteração legislativa, isto é, no desiderato adequar o aparato tributário legal municipal à realidade atual de mercado e, por consectário, aos estritos ditames da lei, do melhor direito e da justiça, por derradeiro.</w:t>
      </w:r>
    </w:p>
    <w:p w14:paraId="2829AD15" w14:textId="77777777" w:rsidR="00744BDA" w:rsidRDefault="00744BDA">
      <w:pPr>
        <w:jc w:val="center"/>
        <w:rPr>
          <w:shd w:val="clear" w:color="auto" w:fill="FFFF00"/>
        </w:rPr>
      </w:pPr>
    </w:p>
    <w:p w14:paraId="61E1CC7A" w14:textId="77777777" w:rsidR="00744BDA" w:rsidRDefault="00744BDA">
      <w:pPr>
        <w:jc w:val="center"/>
        <w:rPr>
          <w:shd w:val="clear" w:color="auto" w:fill="FFFF00"/>
        </w:rPr>
      </w:pPr>
    </w:p>
    <w:p w14:paraId="74424E82" w14:textId="77777777" w:rsidR="00B47FE2" w:rsidRDefault="00B47FE2" w:rsidP="00B47FE2">
      <w:pPr>
        <w:ind w:left="1985" w:hanging="284"/>
        <w:jc w:val="both"/>
        <w:rPr>
          <w:b/>
        </w:rPr>
      </w:pPr>
    </w:p>
    <w:p w14:paraId="2ECACE35" w14:textId="77777777" w:rsidR="00B47FE2" w:rsidRDefault="00B47FE2" w:rsidP="00B47FE2">
      <w:pPr>
        <w:jc w:val="right"/>
        <w:rPr>
          <w:b/>
        </w:rPr>
      </w:pPr>
    </w:p>
    <w:p w14:paraId="3555A032" w14:textId="77777777" w:rsidR="00B47FE2" w:rsidRDefault="00B47FE2" w:rsidP="00B47FE2">
      <w:pPr>
        <w:jc w:val="right"/>
      </w:pPr>
      <w:r>
        <w:t>Município de Anchieta/SC, 07 de junho de 2022.</w:t>
      </w:r>
    </w:p>
    <w:p w14:paraId="30EF68F2" w14:textId="77777777" w:rsidR="00B47FE2" w:rsidRDefault="00B47FE2" w:rsidP="00B47FE2">
      <w:pPr>
        <w:jc w:val="right"/>
      </w:pPr>
    </w:p>
    <w:p w14:paraId="6B99CA07" w14:textId="77777777" w:rsidR="00B47FE2" w:rsidRDefault="00B47FE2" w:rsidP="00B47FE2">
      <w:pPr>
        <w:jc w:val="right"/>
      </w:pPr>
    </w:p>
    <w:p w14:paraId="05E85EA4" w14:textId="77777777" w:rsidR="00B47FE2" w:rsidRDefault="00B47FE2" w:rsidP="00B47FE2">
      <w:pPr>
        <w:jc w:val="right"/>
      </w:pPr>
    </w:p>
    <w:p w14:paraId="3E8362DD" w14:textId="77777777" w:rsidR="00B47FE2" w:rsidRDefault="00B47FE2" w:rsidP="00B47FE2">
      <w:pPr>
        <w:jc w:val="right"/>
      </w:pPr>
    </w:p>
    <w:p w14:paraId="51749558" w14:textId="77777777" w:rsidR="00B47FE2" w:rsidRDefault="00B47FE2" w:rsidP="00B47FE2">
      <w:pPr>
        <w:jc w:val="center"/>
        <w:rPr>
          <w:b/>
        </w:rPr>
      </w:pPr>
      <w:r>
        <w:rPr>
          <w:b/>
        </w:rPr>
        <w:t>IVAN JOSÉ CANCI</w:t>
      </w:r>
    </w:p>
    <w:p w14:paraId="07B47B35" w14:textId="15203802" w:rsidR="00744BDA" w:rsidRDefault="00B47FE2">
      <w:pPr>
        <w:jc w:val="center"/>
      </w:pPr>
      <w:r>
        <w:t>Prefeito Municipal</w:t>
      </w:r>
    </w:p>
    <w:p w14:paraId="31E75B13" w14:textId="77777777" w:rsidR="00744BDA" w:rsidRDefault="00744BDA">
      <w:pPr>
        <w:jc w:val="center"/>
      </w:pPr>
    </w:p>
    <w:p w14:paraId="139DB1EF" w14:textId="77777777" w:rsidR="00744BDA" w:rsidRDefault="00744BDA">
      <w:pPr>
        <w:jc w:val="center"/>
      </w:pPr>
    </w:p>
    <w:p w14:paraId="23BFE2FC" w14:textId="77777777" w:rsidR="00744BDA" w:rsidRDefault="00744BDA">
      <w:pPr>
        <w:jc w:val="center"/>
      </w:pPr>
    </w:p>
    <w:sectPr w:rsidR="00744BDA">
      <w:headerReference w:type="default" r:id="rId7"/>
      <w:footerReference w:type="default" r:id="rId8"/>
      <w:pgSz w:w="11906" w:h="16838"/>
      <w:pgMar w:top="1440" w:right="1276" w:bottom="765"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A354" w14:textId="77777777" w:rsidR="007A3DDA" w:rsidRDefault="007A3DDA">
      <w:r>
        <w:separator/>
      </w:r>
    </w:p>
  </w:endnote>
  <w:endnote w:type="continuationSeparator" w:id="0">
    <w:p w14:paraId="66EF77C8" w14:textId="77777777" w:rsidR="007A3DDA" w:rsidRDefault="007A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mazone BT;Courier New">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3AC7" w14:textId="77777777" w:rsidR="00744BDA" w:rsidRDefault="00C1343F">
    <w:pPr>
      <w:pStyle w:val="Rodap"/>
      <w:spacing w:line="360" w:lineRule="auto"/>
      <w:rPr>
        <w:rFonts w:ascii="Amazone BT;Courier New" w:hAnsi="Amazone BT;Courier New" w:cs="Amazone BT;Courier New"/>
        <w:b/>
        <w:bCs/>
        <w:sz w:val="10"/>
        <w:lang w:eastAsia="pt-BR"/>
      </w:rPr>
    </w:pPr>
    <w:r>
      <w:rPr>
        <w:rFonts w:ascii="Amazone BT;Courier New" w:hAnsi="Amazone BT;Courier New" w:cs="Amazone BT;Courier New"/>
        <w:b/>
        <w:bCs/>
        <w:noProof/>
        <w:sz w:val="10"/>
        <w:lang w:eastAsia="pt-BR"/>
      </w:rPr>
      <mc:AlternateContent>
        <mc:Choice Requires="wps">
          <w:drawing>
            <wp:anchor distT="19050" distB="19050" distL="133985" distR="133985" simplePos="0" relativeHeight="13" behindDoc="0" locked="0" layoutInCell="0" allowOverlap="1" wp14:anchorId="245AF9C4" wp14:editId="512C8C66">
              <wp:simplePos x="0" y="0"/>
              <wp:positionH relativeFrom="column">
                <wp:posOffset>0</wp:posOffset>
              </wp:positionH>
              <wp:positionV relativeFrom="paragraph">
                <wp:posOffset>22860</wp:posOffset>
              </wp:positionV>
              <wp:extent cx="5829935" cy="635"/>
              <wp:effectExtent l="0" t="0" r="0" b="0"/>
              <wp:wrapSquare wrapText="bothSides"/>
              <wp:docPr id="6" name="Forma4"/>
              <wp:cNvGraphicFramePr/>
              <a:graphic xmlns:a="http://schemas.openxmlformats.org/drawingml/2006/main">
                <a:graphicData uri="http://schemas.microsoft.com/office/word/2010/wordprocessingShape">
                  <wps:wsp>
                    <wps:cNvCnPr/>
                    <wps:spPr>
                      <a:xfrm>
                        <a:off x="0" y="0"/>
                        <a:ext cx="5829480" cy="0"/>
                      </a:xfrm>
                      <a:prstGeom prst="line">
                        <a:avLst/>
                      </a:prstGeom>
                      <a:ln w="38160">
                        <a:solidFill>
                          <a:srgbClr val="000000"/>
                        </a:solidFill>
                        <a:miter/>
                        <a:headEnd type="oval" w="sm" len="sm"/>
                        <a:tailEnd type="oval" w="sm" len="sm"/>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8pt" to="458.95pt,1.8pt" ID="Forma4" stroked="t" o:allowincell="f" style="position:absolute">
              <v:stroke color="black" weight="38160" startarrow="oval" endarrow="oval" startarrowwidth="narrow" startarrowlength="short" endarrowwidth="narrow" endarrowlength="short" joinstyle="miter" endcap="flat"/>
              <v:fill o:detectmouseclick="t" on="false"/>
              <w10:wrap type="square"/>
            </v:line>
          </w:pict>
        </mc:Fallback>
      </mc:AlternateContent>
    </w:r>
  </w:p>
  <w:p w14:paraId="7B949F8F" w14:textId="77777777" w:rsidR="00744BDA" w:rsidRDefault="00744BDA">
    <w:pPr>
      <w:pStyle w:val="Rodap"/>
      <w:spacing w:line="360" w:lineRule="auto"/>
      <w:rPr>
        <w:rFonts w:ascii="Bookman Old Style" w:hAnsi="Bookman Old Style" w:cs="Bookman Old Style"/>
        <w:b/>
        <w:bCs/>
        <w:sz w:val="20"/>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A229" w14:textId="77777777" w:rsidR="007A3DDA" w:rsidRDefault="007A3DDA">
      <w:r>
        <w:separator/>
      </w:r>
    </w:p>
  </w:footnote>
  <w:footnote w:type="continuationSeparator" w:id="0">
    <w:p w14:paraId="4DCA6B82" w14:textId="77777777" w:rsidR="007A3DDA" w:rsidRDefault="007A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9789" w14:textId="77777777" w:rsidR="00744BDA" w:rsidRDefault="00C1343F">
    <w:pPr>
      <w:pStyle w:val="Cabealho"/>
      <w:tabs>
        <w:tab w:val="clear" w:pos="4419"/>
        <w:tab w:val="clear" w:pos="8838"/>
        <w:tab w:val="right" w:pos="14348"/>
      </w:tabs>
      <w:spacing w:line="360" w:lineRule="auto"/>
      <w:ind w:left="1620" w:right="360"/>
      <w:rPr>
        <w:rFonts w:ascii="Bookman Old Style" w:hAnsi="Bookman Old Style" w:cs="Bookman Old Style"/>
        <w:b/>
        <w:bCs/>
        <w:sz w:val="28"/>
      </w:rPr>
    </w:pPr>
    <w:r>
      <w:rPr>
        <w:noProof/>
      </w:rPr>
      <w:drawing>
        <wp:anchor distT="0" distB="0" distL="114935" distR="114935" simplePos="0" relativeHeight="4" behindDoc="1" locked="0" layoutInCell="0" allowOverlap="1" wp14:anchorId="010B6F48" wp14:editId="2EB8CBD7">
          <wp:simplePos x="0" y="0"/>
          <wp:positionH relativeFrom="column">
            <wp:posOffset>-73025</wp:posOffset>
          </wp:positionH>
          <wp:positionV relativeFrom="paragraph">
            <wp:posOffset>-170815</wp:posOffset>
          </wp:positionV>
          <wp:extent cx="975995" cy="103695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8" t="-19" r="-18" b="-19"/>
                  <a:stretch>
                    <a:fillRect/>
                  </a:stretch>
                </pic:blipFill>
                <pic:spPr bwMode="auto">
                  <a:xfrm>
                    <a:off x="0" y="0"/>
                    <a:ext cx="975995" cy="1036955"/>
                  </a:xfrm>
                  <a:prstGeom prst="rect">
                    <a:avLst/>
                  </a:prstGeom>
                </pic:spPr>
              </pic:pic>
            </a:graphicData>
          </a:graphic>
        </wp:anchor>
      </w:drawing>
    </w:r>
    <w:r>
      <w:rPr>
        <w:noProof/>
      </w:rPr>
      <mc:AlternateContent>
        <mc:Choice Requires="wps">
          <w:drawing>
            <wp:anchor distT="19050" distB="19050" distL="133985" distR="133985" simplePos="0" relativeHeight="10" behindDoc="0" locked="0" layoutInCell="0" allowOverlap="1" wp14:anchorId="0270B0CE" wp14:editId="383B8892">
              <wp:simplePos x="0" y="0"/>
              <wp:positionH relativeFrom="column">
                <wp:posOffset>914400</wp:posOffset>
              </wp:positionH>
              <wp:positionV relativeFrom="paragraph">
                <wp:posOffset>287020</wp:posOffset>
              </wp:positionV>
              <wp:extent cx="4915535" cy="635"/>
              <wp:effectExtent l="0" t="0" r="0" b="0"/>
              <wp:wrapSquare wrapText="bothSides"/>
              <wp:docPr id="2" name="Forma1"/>
              <wp:cNvGraphicFramePr/>
              <a:graphic xmlns:a="http://schemas.openxmlformats.org/drawingml/2006/main">
                <a:graphicData uri="http://schemas.microsoft.com/office/word/2010/wordprocessingShape">
                  <wps:wsp>
                    <wps:cNvCnPr/>
                    <wps:spPr>
                      <a:xfrm>
                        <a:off x="0" y="0"/>
                        <a:ext cx="4915080" cy="0"/>
                      </a:xfrm>
                      <a:prstGeom prst="line">
                        <a:avLst/>
                      </a:prstGeom>
                      <a:ln w="38160">
                        <a:solidFill>
                          <a:srgbClr val="000000"/>
                        </a:solidFill>
                        <a:miter/>
                        <a:tailEnd type="oval" w="sm" len="sm"/>
                      </a:ln>
                    </wps:spPr>
                    <wps:style>
                      <a:lnRef idx="0">
                        <a:scrgbClr r="0" g="0" b="0"/>
                      </a:lnRef>
                      <a:fillRef idx="0">
                        <a:scrgbClr r="0" g="0" b="0"/>
                      </a:fillRef>
                      <a:effectRef idx="0">
                        <a:scrgbClr r="0" g="0" b="0"/>
                      </a:effectRef>
                      <a:fontRef idx="minor"/>
                    </wps:style>
                    <wps:bodyPr/>
                  </wps:wsp>
                </a:graphicData>
              </a:graphic>
            </wp:anchor>
          </w:drawing>
        </mc:Choice>
        <mc:Fallback>
          <w:pict>
            <v:line id="shape_0" from="72pt,22.6pt" to="458.95pt,22.6pt" ID="Forma1" stroked="t" o:allowincell="f" style="position:absolute">
              <v:stroke color="black" weight="38160" endarrow="oval" endarrowwidth="narrow" endarrowlength="short" joinstyle="miter" endcap="flat"/>
              <v:fill o:detectmouseclick="t" on="false"/>
              <w10:wrap type="square"/>
            </v:line>
          </w:pict>
        </mc:Fallback>
      </mc:AlternateContent>
    </w:r>
    <w:r>
      <w:rPr>
        <w:noProof/>
      </w:rPr>
      <mc:AlternateContent>
        <mc:Choice Requires="wps">
          <w:drawing>
            <wp:anchor distT="19050" distB="19050" distL="133985" distR="133985" simplePos="0" relativeHeight="16" behindDoc="0" locked="0" layoutInCell="0" allowOverlap="1" wp14:anchorId="5EF30DF0" wp14:editId="2D6A8E86">
              <wp:simplePos x="0" y="0"/>
              <wp:positionH relativeFrom="column">
                <wp:posOffset>5829300</wp:posOffset>
              </wp:positionH>
              <wp:positionV relativeFrom="paragraph">
                <wp:posOffset>287020</wp:posOffset>
              </wp:positionV>
              <wp:extent cx="635" cy="9144635"/>
              <wp:effectExtent l="0" t="0" r="0" b="0"/>
              <wp:wrapSquare wrapText="bothSides"/>
              <wp:docPr id="3" name="Forma2"/>
              <wp:cNvGraphicFramePr/>
              <a:graphic xmlns:a="http://schemas.openxmlformats.org/drawingml/2006/main">
                <a:graphicData uri="http://schemas.microsoft.com/office/word/2010/wordprocessingShape">
                  <wps:wsp>
                    <wps:cNvCnPr/>
                    <wps:spPr>
                      <a:xfrm>
                        <a:off x="0" y="0"/>
                        <a:ext cx="0" cy="9144000"/>
                      </a:xfrm>
                      <a:prstGeom prst="line">
                        <a:avLst/>
                      </a:prstGeom>
                      <a:ln w="38160">
                        <a:solidFill>
                          <a:srgbClr val="000000"/>
                        </a:solidFill>
                        <a:miter/>
                        <a:headEnd type="oval" w="sm" len="sm"/>
                        <a:tailEnd type="oval" w="sm" len="sm"/>
                      </a:ln>
                    </wps:spPr>
                    <wps:style>
                      <a:lnRef idx="0">
                        <a:scrgbClr r="0" g="0" b="0"/>
                      </a:lnRef>
                      <a:fillRef idx="0">
                        <a:scrgbClr r="0" g="0" b="0"/>
                      </a:fillRef>
                      <a:effectRef idx="0">
                        <a:scrgbClr r="0" g="0" b="0"/>
                      </a:effectRef>
                      <a:fontRef idx="minor"/>
                    </wps:style>
                    <wps:bodyPr/>
                  </wps:wsp>
                </a:graphicData>
              </a:graphic>
            </wp:anchor>
          </w:drawing>
        </mc:Choice>
        <mc:Fallback>
          <w:pict>
            <v:line id="shape_0" from="459pt,22.6pt" to="459pt,742.55pt" ID="Forma2" stroked="t" o:allowincell="f" style="position:absolute">
              <v:stroke color="black" weight="38160" startarrow="oval" endarrow="oval" startarrowwidth="narrow" startarrowlength="short" endarrowwidth="narrow" endarrowlength="short" joinstyle="miter" endcap="flat"/>
              <v:fill o:detectmouseclick="t" on="false"/>
              <w10:wrap type="square"/>
            </v:line>
          </w:pict>
        </mc:Fallback>
      </mc:AlternateContent>
    </w:r>
    <w:r>
      <w:rPr>
        <w:rFonts w:ascii="Bookman Old Style" w:hAnsi="Bookman Old Style" w:cs="Bookman Old Style"/>
        <w:b/>
        <w:bCs/>
        <w:sz w:val="28"/>
      </w:rPr>
      <w:t>Estado de Santa Catarina</w:t>
    </w:r>
    <w:r>
      <w:rPr>
        <w:noProof/>
      </w:rPr>
      <mc:AlternateContent>
        <mc:Choice Requires="wps">
          <w:drawing>
            <wp:anchor distT="0" distB="0" distL="0" distR="0" simplePos="0" relativeHeight="7" behindDoc="0" locked="0" layoutInCell="0" allowOverlap="1" wp14:anchorId="6BEA7874" wp14:editId="1D1BE8D0">
              <wp:simplePos x="0" y="0"/>
              <wp:positionH relativeFrom="page">
                <wp:posOffset>9047480</wp:posOffset>
              </wp:positionH>
              <wp:positionV relativeFrom="paragraph">
                <wp:posOffset>45720</wp:posOffset>
              </wp:positionV>
              <wp:extent cx="186055" cy="172085"/>
              <wp:effectExtent l="0" t="0" r="0" b="0"/>
              <wp:wrapSquare wrapText="largest"/>
              <wp:docPr id="4" name="Quadro1"/>
              <wp:cNvGraphicFramePr/>
              <a:graphic xmlns:a="http://schemas.openxmlformats.org/drawingml/2006/main">
                <a:graphicData uri="http://schemas.microsoft.com/office/word/2010/wordprocessingShape">
                  <wps:wsp>
                    <wps:cNvSpPr txBox="1"/>
                    <wps:spPr>
                      <a:xfrm>
                        <a:off x="0" y="0"/>
                        <a:ext cx="186055" cy="172085"/>
                      </a:xfrm>
                      <a:prstGeom prst="rect">
                        <a:avLst/>
                      </a:prstGeom>
                      <a:solidFill>
                        <a:srgbClr val="FFFFFF">
                          <a:alpha val="0"/>
                        </a:srgbClr>
                      </a:solidFill>
                    </wps:spPr>
                    <wps:txbx>
                      <w:txbxContent>
                        <w:p w14:paraId="351307BC" w14:textId="77777777" w:rsidR="00744BDA" w:rsidRDefault="00C1343F">
                          <w:pPr>
                            <w:pStyle w:val="Cabealho"/>
                          </w:pPr>
                          <w:r>
                            <w:rPr>
                              <w:rStyle w:val="Nmerodepgina"/>
                              <w:rFonts w:ascii="Amazone BT;Courier New" w:hAnsi="Amazone BT;Courier New" w:cs="Amazone BT;Courier New"/>
                              <w:b/>
                              <w:bCs/>
                            </w:rPr>
                            <w:t>01</w:t>
                          </w:r>
                        </w:p>
                      </w:txbxContent>
                    </wps:txbx>
                    <wps:bodyPr lIns="635" tIns="635" rIns="635" bIns="635" anchor="t">
                      <a:noAutofit/>
                    </wps:bodyPr>
                  </wps:wsp>
                </a:graphicData>
              </a:graphic>
            </wp:anchor>
          </w:drawing>
        </mc:Choice>
        <mc:Fallback>
          <w:pict>
            <v:shapetype w14:anchorId="6BEA7874" id="_x0000_t202" coordsize="21600,21600" o:spt="202" path="m,l,21600r21600,l21600,xe">
              <v:stroke joinstyle="miter"/>
              <v:path gradientshapeok="t" o:connecttype="rect"/>
            </v:shapetype>
            <v:shape id="Quadro1" o:spid="_x0000_s1026" type="#_x0000_t202" style="position:absolute;left:0;text-align:left;margin-left:712.4pt;margin-top:3.6pt;width:14.65pt;height:13.55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" o:allowincell="f" stroked="f">
              <v:fill opacity="0"/>
              <v:textbox inset=".05pt,.05pt,.05pt,.05pt">
                <w:txbxContent>
                  <w:p w14:paraId="351307BC" w14:textId="77777777" w:rsidR="00744BDA" w:rsidRDefault="00C1343F">
                    <w:pPr>
                      <w:pStyle w:val="Cabealho"/>
                    </w:pPr>
                    <w:r>
                      <w:rPr>
                        <w:rStyle w:val="Nmerodepgina"/>
                        <w:rFonts w:ascii="Amazone BT;Courier New" w:hAnsi="Amazone BT;Courier New" w:cs="Amazone BT;Courier New"/>
                        <w:b/>
                        <w:bCs/>
                      </w:rPr>
                      <w:t>01</w:t>
                    </w:r>
                  </w:p>
                </w:txbxContent>
              </v:textbox>
              <w10:wrap type="square" side="largest" anchorx="page"/>
            </v:shape>
          </w:pict>
        </mc:Fallback>
      </mc:AlternateContent>
    </w:r>
  </w:p>
  <w:p w14:paraId="362E5855" w14:textId="77777777" w:rsidR="00744BDA" w:rsidRDefault="00C1343F">
    <w:pPr>
      <w:pStyle w:val="Cabealho"/>
      <w:tabs>
        <w:tab w:val="clear" w:pos="4419"/>
        <w:tab w:val="clear" w:pos="8838"/>
        <w:tab w:val="right" w:pos="14348"/>
      </w:tabs>
      <w:spacing w:line="360" w:lineRule="auto"/>
      <w:ind w:left="1620" w:right="360"/>
      <w:rPr>
        <w:rFonts w:ascii="Bookman Old Style" w:hAnsi="Bookman Old Style" w:cs="Bookman Old Style"/>
        <w:b/>
        <w:bCs/>
      </w:rPr>
    </w:pPr>
    <w:r>
      <w:rPr>
        <w:noProof/>
      </w:rPr>
      <mc:AlternateContent>
        <mc:Choice Requires="wps">
          <w:drawing>
            <wp:anchor distT="19050" distB="19050" distL="133985" distR="133985" simplePos="0" relativeHeight="19" behindDoc="0" locked="0" layoutInCell="0" allowOverlap="1" wp14:anchorId="52BF31FA" wp14:editId="0BED296D">
              <wp:simplePos x="0" y="0"/>
              <wp:positionH relativeFrom="column">
                <wp:posOffset>0</wp:posOffset>
              </wp:positionH>
              <wp:positionV relativeFrom="paragraph">
                <wp:posOffset>564515</wp:posOffset>
              </wp:positionV>
              <wp:extent cx="635" cy="8607425"/>
              <wp:effectExtent l="0" t="0" r="0" b="0"/>
              <wp:wrapSquare wrapText="bothSides"/>
              <wp:docPr id="5" name="Forma3"/>
              <wp:cNvGraphicFramePr/>
              <a:graphic xmlns:a="http://schemas.openxmlformats.org/drawingml/2006/main">
                <a:graphicData uri="http://schemas.microsoft.com/office/word/2010/wordprocessingShape">
                  <wps:wsp>
                    <wps:cNvCnPr/>
                    <wps:spPr>
                      <a:xfrm>
                        <a:off x="0" y="0"/>
                        <a:ext cx="0" cy="8606880"/>
                      </a:xfrm>
                      <a:prstGeom prst="line">
                        <a:avLst/>
                      </a:prstGeom>
                      <a:ln w="38160">
                        <a:solidFill>
                          <a:srgbClr val="000000"/>
                        </a:solidFill>
                        <a:miter/>
                        <a:tailEnd type="oval" w="sm" len="sm"/>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44.45pt" to="0pt,722.1pt" ID="Forma3" stroked="t" o:allowincell="f" style="position:absolute">
              <v:stroke color="black" weight="38160" endarrow="oval" endarrowwidth="narrow" endarrowlength="short" joinstyle="miter" endcap="flat"/>
              <v:fill o:detectmouseclick="t" on="false"/>
              <w10:wrap type="square"/>
            </v:line>
          </w:pict>
        </mc:Fallback>
      </mc:AlternateContent>
    </w:r>
    <w:r>
      <w:rPr>
        <w:rFonts w:ascii="Bookman Old Style" w:hAnsi="Bookman Old Style" w:cs="Bookman Old Style"/>
        <w:b/>
        <w:bCs/>
      </w:rPr>
      <w:t>Município de Anchieta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6EC"/>
    <w:multiLevelType w:val="multilevel"/>
    <w:tmpl w:val="BAC48AE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DA"/>
    <w:rsid w:val="000B5461"/>
    <w:rsid w:val="00441E35"/>
    <w:rsid w:val="0047545A"/>
    <w:rsid w:val="00744BDA"/>
    <w:rsid w:val="007A3DDA"/>
    <w:rsid w:val="008A741C"/>
    <w:rsid w:val="00A51CD0"/>
    <w:rsid w:val="00AC1A46"/>
    <w:rsid w:val="00B47FE2"/>
    <w:rsid w:val="00C13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D032"/>
  <w15:docId w15:val="{88690873-2D10-4061-89BC-1B3A8E3F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E2"/>
    <w:rPr>
      <w:rFonts w:ascii="Times New Roman" w:eastAsia="Times New Roman" w:hAnsi="Times New Roman" w:cs="Times New Roman"/>
      <w:lang w:bidi="ar-SA"/>
    </w:rPr>
  </w:style>
  <w:style w:type="paragraph" w:styleId="Ttulo1">
    <w:name w:val="heading 1"/>
    <w:basedOn w:val="Normal"/>
    <w:next w:val="Normal"/>
    <w:uiPriority w:val="9"/>
    <w:qFormat/>
    <w:pPr>
      <w:keepNext/>
      <w:numPr>
        <w:numId w:val="1"/>
      </w:numPr>
      <w:jc w:val="center"/>
      <w:outlineLvl w:val="0"/>
    </w:pPr>
    <w:rPr>
      <w:rFonts w:ascii="Century Gothic;Segoe UI" w:hAnsi="Century Gothic;Segoe UI" w:cs="Century Gothic;Segoe UI"/>
      <w:b/>
      <w:bCs/>
      <w:spacing w:val="100"/>
      <w:sz w:val="28"/>
      <w:u w:val="single"/>
    </w:rPr>
  </w:style>
  <w:style w:type="paragraph" w:styleId="Ttulo2">
    <w:name w:val="heading 2"/>
    <w:basedOn w:val="Normal"/>
    <w:next w:val="Normal"/>
    <w:uiPriority w:val="9"/>
    <w:semiHidden/>
    <w:unhideWhenUsed/>
    <w:qFormat/>
    <w:pPr>
      <w:keepNext/>
      <w:numPr>
        <w:ilvl w:val="1"/>
        <w:numId w:val="1"/>
      </w:numPr>
      <w:jc w:val="center"/>
      <w:outlineLvl w:val="1"/>
    </w:pPr>
    <w:rPr>
      <w:b/>
      <w:sz w:val="28"/>
      <w:u w:val="single"/>
    </w:rPr>
  </w:style>
  <w:style w:type="paragraph" w:styleId="Ttulo3">
    <w:name w:val="heading 3"/>
    <w:basedOn w:val="Normal"/>
    <w:next w:val="Normal"/>
    <w:uiPriority w:val="9"/>
    <w:semiHidden/>
    <w:unhideWhenUsed/>
    <w:qFormat/>
    <w:pPr>
      <w:keepNext/>
      <w:numPr>
        <w:ilvl w:val="2"/>
        <w:numId w:val="1"/>
      </w:numPr>
      <w:spacing w:line="360" w:lineRule="auto"/>
      <w:ind w:right="1275"/>
      <w:jc w:val="center"/>
      <w:outlineLvl w:val="2"/>
    </w:pPr>
    <w:rPr>
      <w:rFonts w:ascii="Courier New" w:hAnsi="Courier New" w:cs="Courier New"/>
      <w:b/>
      <w:bCs/>
      <w:i/>
      <w:iCs/>
      <w:spacing w:val="60"/>
      <w:sz w:val="32"/>
      <w:u w:val="single"/>
    </w:rPr>
  </w:style>
  <w:style w:type="paragraph" w:styleId="Ttulo4">
    <w:name w:val="heading 4"/>
    <w:basedOn w:val="Normal"/>
    <w:next w:val="Normal"/>
    <w:uiPriority w:val="9"/>
    <w:semiHidden/>
    <w:unhideWhenUsed/>
    <w:qFormat/>
    <w:pPr>
      <w:keepNext/>
      <w:numPr>
        <w:ilvl w:val="3"/>
        <w:numId w:val="1"/>
      </w:numPr>
      <w:spacing w:line="360" w:lineRule="auto"/>
      <w:ind w:right="1134"/>
      <w:jc w:val="center"/>
      <w:outlineLvl w:val="3"/>
    </w:pPr>
    <w:rPr>
      <w:rFonts w:ascii="Courier New" w:hAnsi="Courier New" w:cs="Courier New"/>
      <w:b/>
      <w:bCs/>
      <w:i/>
      <w:iCs/>
      <w:spacing w:val="60"/>
      <w:sz w:val="32"/>
      <w:u w:val="single"/>
    </w:rPr>
  </w:style>
  <w:style w:type="paragraph" w:styleId="Ttulo5">
    <w:name w:val="heading 5"/>
    <w:basedOn w:val="Normal"/>
    <w:next w:val="Normal"/>
    <w:uiPriority w:val="9"/>
    <w:semiHidden/>
    <w:unhideWhenUsed/>
    <w:qFormat/>
    <w:pPr>
      <w:keepNext/>
      <w:numPr>
        <w:ilvl w:val="4"/>
        <w:numId w:val="1"/>
      </w:numPr>
      <w:ind w:firstLine="720"/>
      <w:jc w:val="center"/>
      <w:outlineLvl w:val="4"/>
    </w:pPr>
    <w:rPr>
      <w:b/>
      <w:color w:val="000000"/>
      <w:u w:val="single"/>
    </w:rPr>
  </w:style>
  <w:style w:type="paragraph" w:styleId="Ttulo7">
    <w:name w:val="heading 7"/>
    <w:basedOn w:val="Normal"/>
    <w:next w:val="Normal"/>
    <w:qFormat/>
    <w:pPr>
      <w:keepNext/>
      <w:numPr>
        <w:ilvl w:val="6"/>
        <w:numId w:val="1"/>
      </w:numPr>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St3z0">
    <w:name w:val="WW8NumSt3z0"/>
    <w:qFormat/>
    <w:rPr>
      <w:rFonts w:ascii="Symbol" w:hAnsi="Symbol" w:cs="Symbol"/>
    </w:rPr>
  </w:style>
  <w:style w:type="character" w:styleId="Nmerodepgina">
    <w:name w:val="page number"/>
    <w:basedOn w:val="Fontepargpadro"/>
  </w:style>
  <w:style w:type="character" w:customStyle="1" w:styleId="LinkdaInternet">
    <w:name w:val="Link da Internet"/>
    <w:rPr>
      <w:color w:val="0000FF"/>
      <w:u w:val="single"/>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Lucida Sans"/>
      <w:sz w:val="28"/>
      <w:szCs w:val="28"/>
    </w:rPr>
  </w:style>
  <w:style w:type="paragraph" w:styleId="Corpodetexto">
    <w:name w:val="Body Text"/>
    <w:basedOn w:val="Normal"/>
    <w:pPr>
      <w:jc w:val="both"/>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spacing w:line="360" w:lineRule="auto"/>
      <w:ind w:firstLine="1800"/>
      <w:jc w:val="both"/>
    </w:pPr>
    <w:rPr>
      <w:rFonts w:ascii="Amazone BT;Courier New" w:hAnsi="Amazone BT;Courier New" w:cs="Arial"/>
    </w:rPr>
  </w:style>
  <w:style w:type="paragraph" w:styleId="Corpodetexto2">
    <w:name w:val="Body Text 2"/>
    <w:basedOn w:val="Normal"/>
    <w:qFormat/>
    <w:pPr>
      <w:jc w:val="both"/>
    </w:pPr>
  </w:style>
  <w:style w:type="paragraph" w:styleId="Recuodecorpodetexto2">
    <w:name w:val="Body Text Indent 2"/>
    <w:basedOn w:val="Normal"/>
    <w:qFormat/>
    <w:pPr>
      <w:ind w:firstLine="1418"/>
      <w:jc w:val="both"/>
    </w:pPr>
    <w:rPr>
      <w:color w:val="FF0000"/>
    </w:rPr>
  </w:style>
  <w:style w:type="paragraph" w:styleId="Recuodecorpodetexto3">
    <w:name w:val="Body Text Indent 3"/>
    <w:basedOn w:val="Normal"/>
    <w:qFormat/>
    <w:pPr>
      <w:ind w:left="3240" w:hanging="3240"/>
    </w:pPr>
  </w:style>
  <w:style w:type="paragraph" w:styleId="Corpodetexto3">
    <w:name w:val="Body Text 3"/>
    <w:basedOn w:val="Normal"/>
    <w:qFormat/>
    <w:pPr>
      <w:jc w:val="both"/>
    </w:pPr>
    <w:rPr>
      <w:b/>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texto1">
    <w:name w:val="texto1"/>
    <w:basedOn w:val="Normal"/>
    <w:qFormat/>
    <w:pPr>
      <w:spacing w:before="280" w:after="280"/>
    </w:p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795</Words>
  <Characters>4297</Characters>
  <Application>Microsoft Office Word</Application>
  <DocSecurity>0</DocSecurity>
  <Lines>35</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Diário de Bordo</dc:title>
  <dc:subject/>
  <dc:creator>CLIENTE ESPECIAL</dc:creator>
  <dc:description/>
  <cp:lastModifiedBy>Prefeitura Anchieta</cp:lastModifiedBy>
  <cp:revision>16</cp:revision>
  <cp:lastPrinted>2019-11-19T18:12:00Z</cp:lastPrinted>
  <dcterms:created xsi:type="dcterms:W3CDTF">2019-08-26T18:00:00Z</dcterms:created>
  <dcterms:modified xsi:type="dcterms:W3CDTF">2022-06-07T18:56:00Z</dcterms:modified>
  <dc:language>pt-BR</dc:language>
</cp:coreProperties>
</file>